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07359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noProof/>
          <w:sz w:val="24"/>
          <w:szCs w:val="24"/>
        </w:rPr>
        <w:drawing>
          <wp:inline distT="0" distB="0" distL="0" distR="0">
            <wp:extent cx="2889885" cy="647065"/>
            <wp:effectExtent l="0" t="0" r="5715" b="635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7159EC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4F1F94">
        <w:rPr>
          <w:rFonts w:ascii="Times New Roman" w:hAnsi="Times New Roman"/>
          <w:b/>
          <w:caps/>
          <w:sz w:val="40"/>
          <w:szCs w:val="40"/>
        </w:rPr>
        <w:t>StrAtegia ROZWOJU</w:t>
      </w:r>
    </w:p>
    <w:p w:rsidR="004330CA" w:rsidRDefault="007159EC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4F1F94">
        <w:rPr>
          <w:rFonts w:ascii="Times New Roman" w:hAnsi="Times New Roman"/>
          <w:b/>
          <w:caps/>
          <w:sz w:val="40"/>
          <w:szCs w:val="40"/>
        </w:rPr>
        <w:t xml:space="preserve">WYDZIAŁU NAUK EKONOMICZNYCH </w:t>
      </w:r>
    </w:p>
    <w:p w:rsidR="004330CA" w:rsidRDefault="007159EC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4F1F94">
        <w:rPr>
          <w:rFonts w:ascii="Times New Roman" w:hAnsi="Times New Roman"/>
          <w:b/>
          <w:caps/>
          <w:sz w:val="40"/>
          <w:szCs w:val="40"/>
        </w:rPr>
        <w:t xml:space="preserve">SggW </w:t>
      </w:r>
      <w:r>
        <w:rPr>
          <w:rFonts w:ascii="Times New Roman" w:hAnsi="Times New Roman"/>
          <w:b/>
          <w:caps/>
          <w:sz w:val="40"/>
          <w:szCs w:val="40"/>
        </w:rPr>
        <w:t>w Warszawie</w:t>
      </w:r>
    </w:p>
    <w:p w:rsidR="004330CA" w:rsidRDefault="00D82C93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>
        <w:rPr>
          <w:rFonts w:ascii="Times New Roman" w:hAnsi="Times New Roman"/>
          <w:b/>
          <w:caps/>
          <w:sz w:val="40"/>
          <w:szCs w:val="40"/>
        </w:rPr>
        <w:t>do 2020</w:t>
      </w: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4330C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330CA" w:rsidRDefault="0071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4"/>
          <w:szCs w:val="24"/>
        </w:rPr>
      </w:pPr>
      <w:r w:rsidRPr="00CC42AB">
        <w:rPr>
          <w:rFonts w:ascii="Times New Roman" w:hAnsi="Times New Roman"/>
          <w:b/>
          <w:caps/>
          <w:color w:val="FF0000"/>
          <w:sz w:val="24"/>
          <w:szCs w:val="24"/>
        </w:rPr>
        <w:t>PROJEKT</w:t>
      </w: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3E16" w:rsidRDefault="00CE3E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BB1D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1D1D">
        <w:rPr>
          <w:rFonts w:ascii="Times New Roman" w:hAnsi="Times New Roman"/>
          <w:b/>
          <w:sz w:val="24"/>
          <w:szCs w:val="24"/>
        </w:rPr>
        <w:t xml:space="preserve">Warszawa, </w:t>
      </w:r>
      <w:r w:rsidR="007159EC">
        <w:rPr>
          <w:rFonts w:ascii="Times New Roman" w:hAnsi="Times New Roman"/>
          <w:b/>
          <w:sz w:val="24"/>
          <w:szCs w:val="24"/>
        </w:rPr>
        <w:t>listopad</w:t>
      </w:r>
      <w:r w:rsidRPr="00BB1D1D">
        <w:rPr>
          <w:rFonts w:ascii="Times New Roman" w:hAnsi="Times New Roman"/>
          <w:b/>
          <w:sz w:val="24"/>
          <w:szCs w:val="24"/>
        </w:rPr>
        <w:t xml:space="preserve"> 2013r.</w:t>
      </w:r>
    </w:p>
    <w:p w:rsidR="004330CA" w:rsidRDefault="007159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42AB">
        <w:rPr>
          <w:rFonts w:ascii="Times New Roman" w:hAnsi="Times New Roman"/>
          <w:b/>
          <w:sz w:val="24"/>
          <w:szCs w:val="24"/>
        </w:rPr>
        <w:br w:type="page"/>
      </w:r>
    </w:p>
    <w:p w:rsidR="004330CA" w:rsidRDefault="00BB1D1D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lastRenderedPageBreak/>
        <w:t xml:space="preserve">Celem strategii jest określenie kierunków rozwoju </w:t>
      </w:r>
      <w:r w:rsidR="007159EC">
        <w:rPr>
          <w:rFonts w:ascii="Times New Roman" w:hAnsi="Times New Roman"/>
          <w:sz w:val="24"/>
          <w:szCs w:val="24"/>
        </w:rPr>
        <w:t xml:space="preserve">Wydziału Nauk Ekonomicznych Szkoły Głównej Gospodarstwa Wiejskiego w Warszawie </w:t>
      </w:r>
      <w:r w:rsidRPr="00BB1D1D">
        <w:rPr>
          <w:rFonts w:ascii="Times New Roman" w:hAnsi="Times New Roman"/>
          <w:sz w:val="24"/>
          <w:szCs w:val="24"/>
        </w:rPr>
        <w:t xml:space="preserve">w </w:t>
      </w:r>
      <w:r w:rsidR="007159EC">
        <w:rPr>
          <w:rFonts w:ascii="Times New Roman" w:hAnsi="Times New Roman"/>
          <w:sz w:val="24"/>
          <w:szCs w:val="24"/>
        </w:rPr>
        <w:t xml:space="preserve">głównych </w:t>
      </w:r>
      <w:r w:rsidRPr="00BB1D1D">
        <w:rPr>
          <w:rFonts w:ascii="Times New Roman" w:hAnsi="Times New Roman"/>
          <w:sz w:val="24"/>
          <w:szCs w:val="24"/>
        </w:rPr>
        <w:t>obszarach działalnoś</w:t>
      </w:r>
      <w:r w:rsidR="007159EC">
        <w:rPr>
          <w:rFonts w:ascii="Times New Roman" w:hAnsi="Times New Roman"/>
          <w:sz w:val="24"/>
          <w:szCs w:val="24"/>
        </w:rPr>
        <w:t xml:space="preserve">ci. Strategia uwzględnia zmiany </w:t>
      </w:r>
      <w:r w:rsidRPr="00BB1D1D">
        <w:rPr>
          <w:rFonts w:ascii="Times New Roman" w:hAnsi="Times New Roman"/>
          <w:sz w:val="24"/>
          <w:szCs w:val="24"/>
        </w:rPr>
        <w:t>w</w:t>
      </w:r>
      <w:r w:rsidR="007159EC">
        <w:rPr>
          <w:rFonts w:ascii="Times New Roman" w:hAnsi="Times New Roman"/>
          <w:sz w:val="24"/>
          <w:szCs w:val="24"/>
        </w:rPr>
        <w:t>arunków</w:t>
      </w:r>
      <w:r w:rsidRPr="00BB1D1D">
        <w:rPr>
          <w:rFonts w:ascii="Times New Roman" w:hAnsi="Times New Roman"/>
          <w:sz w:val="24"/>
          <w:szCs w:val="24"/>
        </w:rPr>
        <w:t xml:space="preserve"> wewnętrzn</w:t>
      </w:r>
      <w:r w:rsidR="007159EC">
        <w:rPr>
          <w:rFonts w:ascii="Times New Roman" w:hAnsi="Times New Roman"/>
          <w:sz w:val="24"/>
          <w:szCs w:val="24"/>
        </w:rPr>
        <w:t xml:space="preserve">ych </w:t>
      </w:r>
      <w:r w:rsidRPr="00BB1D1D">
        <w:rPr>
          <w:rFonts w:ascii="Times New Roman" w:hAnsi="Times New Roman"/>
          <w:sz w:val="24"/>
          <w:szCs w:val="24"/>
        </w:rPr>
        <w:t>i zewnętrzn</w:t>
      </w:r>
      <w:r w:rsidR="007159EC">
        <w:rPr>
          <w:rFonts w:ascii="Times New Roman" w:hAnsi="Times New Roman"/>
          <w:sz w:val="24"/>
          <w:szCs w:val="24"/>
        </w:rPr>
        <w:t>ych</w:t>
      </w:r>
      <w:r w:rsidRPr="00BB1D1D">
        <w:rPr>
          <w:rFonts w:ascii="Times New Roman" w:hAnsi="Times New Roman"/>
          <w:sz w:val="24"/>
          <w:szCs w:val="24"/>
        </w:rPr>
        <w:t xml:space="preserve">, w tym do wyzwań płynących ze zmian w gospodarce </w:t>
      </w:r>
      <w:r w:rsidR="007159EC">
        <w:rPr>
          <w:rFonts w:ascii="Times New Roman" w:hAnsi="Times New Roman"/>
          <w:sz w:val="24"/>
          <w:szCs w:val="24"/>
        </w:rPr>
        <w:t xml:space="preserve">krajowej i światowej. </w:t>
      </w:r>
      <w:r w:rsidRPr="00BB1D1D">
        <w:rPr>
          <w:rFonts w:ascii="Times New Roman" w:hAnsi="Times New Roman"/>
          <w:sz w:val="24"/>
          <w:szCs w:val="24"/>
        </w:rPr>
        <w:t xml:space="preserve">Realizacja strategii wymaga właściwego wykorzystania potencjału </w:t>
      </w:r>
      <w:r w:rsidR="007159EC">
        <w:rPr>
          <w:rFonts w:ascii="Times New Roman" w:hAnsi="Times New Roman"/>
          <w:sz w:val="24"/>
          <w:szCs w:val="24"/>
        </w:rPr>
        <w:t>SGGW w Warszawie a także</w:t>
      </w:r>
      <w:r w:rsidRPr="00BB1D1D">
        <w:rPr>
          <w:rFonts w:ascii="Times New Roman" w:hAnsi="Times New Roman"/>
          <w:sz w:val="24"/>
          <w:szCs w:val="24"/>
        </w:rPr>
        <w:t xml:space="preserve"> wzmocnienia powiązań z jedno</w:t>
      </w:r>
      <w:r w:rsidR="007159EC">
        <w:rPr>
          <w:rFonts w:ascii="Times New Roman" w:hAnsi="Times New Roman"/>
          <w:sz w:val="24"/>
          <w:szCs w:val="24"/>
        </w:rPr>
        <w:t>stkami krajowym i zagranicznymi.</w:t>
      </w: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7159EC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Strategię zatwierdzono Uchwałą Rady Wydziału Nauk Ekonomicznych SGGW w Warszawie</w:t>
      </w:r>
    </w:p>
    <w:p w:rsidR="004330CA" w:rsidRDefault="007159EC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 dnia …</w:t>
      </w: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7159EC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Perspektywa czasowa strategii – 2020</w:t>
      </w:r>
      <w:r w:rsidR="00B265E8">
        <w:rPr>
          <w:rFonts w:ascii="Times New Roman" w:hAnsi="Times New Roman"/>
          <w:sz w:val="24"/>
          <w:szCs w:val="24"/>
        </w:rPr>
        <w:t xml:space="preserve"> rok </w:t>
      </w:r>
      <w:r w:rsidRPr="00CC42AB">
        <w:rPr>
          <w:rFonts w:ascii="Times New Roman" w:hAnsi="Times New Roman"/>
          <w:sz w:val="24"/>
          <w:szCs w:val="24"/>
        </w:rPr>
        <w:t>, przy uwzględnieniu zasady ciągłości planowania</w:t>
      </w: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7159EC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Strategia rozwoju Wydziału Nauk Ekonomicznych jest </w:t>
      </w:r>
      <w:r w:rsidR="00B265E8">
        <w:rPr>
          <w:rFonts w:ascii="Times New Roman" w:hAnsi="Times New Roman"/>
          <w:sz w:val="24"/>
          <w:szCs w:val="24"/>
        </w:rPr>
        <w:t xml:space="preserve">częścią strategii realizowanej w </w:t>
      </w:r>
      <w:r w:rsidR="00B265E8" w:rsidRPr="00CC42AB">
        <w:rPr>
          <w:rFonts w:ascii="Times New Roman" w:hAnsi="Times New Roman"/>
          <w:sz w:val="24"/>
          <w:szCs w:val="24"/>
        </w:rPr>
        <w:t>Szko</w:t>
      </w:r>
      <w:r w:rsidR="00B265E8">
        <w:rPr>
          <w:rFonts w:ascii="Times New Roman" w:hAnsi="Times New Roman"/>
          <w:sz w:val="24"/>
          <w:szCs w:val="24"/>
        </w:rPr>
        <w:t>le</w:t>
      </w:r>
      <w:r w:rsidR="00B265E8" w:rsidRPr="00CC42AB">
        <w:rPr>
          <w:rFonts w:ascii="Times New Roman" w:hAnsi="Times New Roman"/>
          <w:sz w:val="24"/>
          <w:szCs w:val="24"/>
        </w:rPr>
        <w:t xml:space="preserve"> Głównej Gospodarstwa Wiejskiego w Warszawie </w:t>
      </w:r>
      <w:r w:rsidR="00B265E8">
        <w:rPr>
          <w:rFonts w:ascii="Times New Roman" w:hAnsi="Times New Roman"/>
          <w:sz w:val="24"/>
          <w:szCs w:val="24"/>
        </w:rPr>
        <w:t xml:space="preserve">wpisuje się w jej założenia. Jest zgodna </w:t>
      </w:r>
      <w:r w:rsidR="00F7476E">
        <w:rPr>
          <w:rFonts w:ascii="Times New Roman" w:hAnsi="Times New Roman"/>
          <w:sz w:val="24"/>
          <w:szCs w:val="24"/>
        </w:rPr>
        <w:t>ze</w:t>
      </w:r>
      <w:r w:rsidR="00F7476E" w:rsidRPr="00CC42AB">
        <w:rPr>
          <w:rFonts w:ascii="Times New Roman" w:hAnsi="Times New Roman"/>
          <w:sz w:val="24"/>
          <w:szCs w:val="24"/>
        </w:rPr>
        <w:t xml:space="preserve"> Strategią</w:t>
      </w:r>
      <w:r w:rsidRPr="00CC42AB">
        <w:rPr>
          <w:rFonts w:ascii="Times New Roman" w:hAnsi="Times New Roman"/>
          <w:sz w:val="24"/>
          <w:szCs w:val="24"/>
        </w:rPr>
        <w:t xml:space="preserve"> </w:t>
      </w:r>
      <w:r w:rsidR="00B265E8" w:rsidRPr="00CC42AB">
        <w:rPr>
          <w:rFonts w:ascii="Times New Roman" w:hAnsi="Times New Roman"/>
          <w:sz w:val="24"/>
          <w:szCs w:val="24"/>
        </w:rPr>
        <w:t>Szko</w:t>
      </w:r>
      <w:r w:rsidR="00B265E8">
        <w:rPr>
          <w:rFonts w:ascii="Times New Roman" w:hAnsi="Times New Roman"/>
          <w:sz w:val="24"/>
          <w:szCs w:val="24"/>
        </w:rPr>
        <w:t>ły</w:t>
      </w:r>
      <w:r w:rsidR="00B265E8" w:rsidRPr="00CC42AB">
        <w:rPr>
          <w:rFonts w:ascii="Times New Roman" w:hAnsi="Times New Roman"/>
          <w:sz w:val="24"/>
          <w:szCs w:val="24"/>
        </w:rPr>
        <w:t xml:space="preserve"> Głównej Gospodarstwa Wiejskiego w Warszawie </w:t>
      </w:r>
      <w:r w:rsidRPr="00CC42AB">
        <w:rPr>
          <w:rFonts w:ascii="Times New Roman" w:hAnsi="Times New Roman"/>
          <w:sz w:val="24"/>
          <w:szCs w:val="24"/>
        </w:rPr>
        <w:t>do 2020 roku</w:t>
      </w: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4330CA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4330CA" w:rsidRDefault="00BB1D1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B1D1D">
        <w:rPr>
          <w:rFonts w:ascii="Times New Roman" w:hAnsi="Times New Roman"/>
          <w:b/>
          <w:sz w:val="24"/>
          <w:szCs w:val="24"/>
        </w:rPr>
        <w:t>Metodyka opracowania Strategii</w:t>
      </w:r>
    </w:p>
    <w:p w:rsidR="0082587B" w:rsidRDefault="0082587B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7159EC" w:rsidRPr="007159EC" w:rsidRDefault="00BB1D1D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>Opracowanie Strategii jest wynikiem licznych inicjatyw podejmowanych w okresie wrzesie</w:t>
      </w:r>
      <w:r w:rsidRPr="00BB1D1D">
        <w:rPr>
          <w:rFonts w:ascii="Times New Roman" w:hAnsi="Times New Roman" w:hint="eastAsia"/>
          <w:sz w:val="24"/>
          <w:szCs w:val="24"/>
        </w:rPr>
        <w:t>ń</w:t>
      </w:r>
      <w:r w:rsidRPr="00BB1D1D">
        <w:rPr>
          <w:rFonts w:ascii="Times New Roman" w:hAnsi="Times New Roman"/>
          <w:sz w:val="24"/>
          <w:szCs w:val="24"/>
        </w:rPr>
        <w:t xml:space="preserve"> 2012 </w:t>
      </w:r>
      <w:r w:rsidR="007159EC" w:rsidRPr="009F6A11">
        <w:rPr>
          <w:rFonts w:ascii="Times New Roman" w:hAnsi="Times New Roman"/>
          <w:sz w:val="24"/>
          <w:szCs w:val="24"/>
        </w:rPr>
        <w:t>–</w:t>
      </w:r>
      <w:r w:rsidRPr="00BB1D1D">
        <w:rPr>
          <w:rFonts w:ascii="Times New Roman" w:hAnsi="Times New Roman"/>
          <w:sz w:val="24"/>
          <w:szCs w:val="24"/>
        </w:rPr>
        <w:t xml:space="preserve"> pa</w:t>
      </w:r>
      <w:r w:rsidRPr="00BB1D1D">
        <w:rPr>
          <w:rFonts w:ascii="Times New Roman" w:hAnsi="Times New Roman" w:hint="eastAsia"/>
          <w:sz w:val="24"/>
          <w:szCs w:val="24"/>
        </w:rPr>
        <w:t>ź</w:t>
      </w:r>
      <w:r w:rsidRPr="00BB1D1D">
        <w:rPr>
          <w:rFonts w:ascii="Times New Roman" w:hAnsi="Times New Roman"/>
          <w:sz w:val="24"/>
          <w:szCs w:val="24"/>
        </w:rPr>
        <w:t>dziernik 2013. Do najwa</w:t>
      </w:r>
      <w:r w:rsidRPr="00BB1D1D">
        <w:rPr>
          <w:rFonts w:ascii="Times New Roman" w:hAnsi="Times New Roman" w:hint="eastAsia"/>
          <w:sz w:val="24"/>
          <w:szCs w:val="24"/>
        </w:rPr>
        <w:t>ż</w:t>
      </w:r>
      <w:r w:rsidRPr="00BB1D1D">
        <w:rPr>
          <w:rFonts w:ascii="Times New Roman" w:hAnsi="Times New Roman"/>
          <w:sz w:val="24"/>
          <w:szCs w:val="24"/>
        </w:rPr>
        <w:t>niejszych zaliczy</w:t>
      </w:r>
      <w:r w:rsidRPr="00BB1D1D">
        <w:rPr>
          <w:rFonts w:ascii="Times New Roman" w:hAnsi="Times New Roman" w:hint="eastAsia"/>
          <w:sz w:val="24"/>
          <w:szCs w:val="24"/>
        </w:rPr>
        <w:t>ć</w:t>
      </w:r>
      <w:r w:rsidRPr="00BB1D1D">
        <w:rPr>
          <w:rFonts w:ascii="Times New Roman" w:hAnsi="Times New Roman"/>
          <w:sz w:val="24"/>
          <w:szCs w:val="24"/>
        </w:rPr>
        <w:t xml:space="preserve"> nale</w:t>
      </w:r>
      <w:r w:rsidRPr="00BB1D1D">
        <w:rPr>
          <w:rFonts w:ascii="Times New Roman" w:hAnsi="Times New Roman" w:hint="eastAsia"/>
          <w:sz w:val="24"/>
          <w:szCs w:val="24"/>
        </w:rPr>
        <w:t>ż</w:t>
      </w:r>
      <w:r w:rsidRPr="00BB1D1D">
        <w:rPr>
          <w:rFonts w:ascii="Times New Roman" w:hAnsi="Times New Roman"/>
          <w:sz w:val="24"/>
          <w:szCs w:val="24"/>
        </w:rPr>
        <w:t>y:</w:t>
      </w:r>
    </w:p>
    <w:p w:rsid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prace zespołu dziekańskiego,</w:t>
      </w:r>
    </w:p>
    <w:p w:rsid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B1D1D" w:rsidRPr="00BB1D1D">
        <w:rPr>
          <w:rFonts w:ascii="Times New Roman" w:hAnsi="Times New Roman"/>
          <w:sz w:val="24"/>
          <w:szCs w:val="24"/>
        </w:rPr>
        <w:t>prace Kolegium Dzieka</w:t>
      </w:r>
      <w:r w:rsidR="00BB1D1D" w:rsidRPr="00BB1D1D">
        <w:rPr>
          <w:rFonts w:ascii="Times New Roman" w:hAnsi="Times New Roman" w:hint="eastAsia"/>
          <w:sz w:val="24"/>
          <w:szCs w:val="24"/>
        </w:rPr>
        <w:t>ń</w:t>
      </w:r>
      <w:r w:rsidR="00BB1D1D" w:rsidRPr="00BB1D1D">
        <w:rPr>
          <w:rFonts w:ascii="Times New Roman" w:hAnsi="Times New Roman"/>
          <w:sz w:val="24"/>
          <w:szCs w:val="24"/>
        </w:rPr>
        <w:t>skiego,</w:t>
      </w:r>
    </w:p>
    <w:p w:rsid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prace Rady Wydziału</w:t>
      </w:r>
    </w:p>
    <w:p w:rsidR="007159EC" w:rsidRP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prace zespołu pełnomocników Dziekana WNE</w:t>
      </w:r>
    </w:p>
    <w:p w:rsidR="007159EC" w:rsidRP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B1D1D" w:rsidRPr="00BB1D1D">
        <w:rPr>
          <w:rFonts w:ascii="Times New Roman" w:hAnsi="Times New Roman"/>
          <w:sz w:val="24"/>
          <w:szCs w:val="24"/>
        </w:rPr>
        <w:t>konsultacje w</w:t>
      </w:r>
      <w:r w:rsidR="00BB1D1D" w:rsidRPr="00BB1D1D">
        <w:rPr>
          <w:rFonts w:ascii="Times New Roman" w:hAnsi="Times New Roman" w:hint="eastAsia"/>
          <w:sz w:val="24"/>
          <w:szCs w:val="24"/>
        </w:rPr>
        <w:t>ś</w:t>
      </w:r>
      <w:r w:rsidR="00BB1D1D" w:rsidRPr="00BB1D1D">
        <w:rPr>
          <w:rFonts w:ascii="Times New Roman" w:hAnsi="Times New Roman"/>
          <w:sz w:val="24"/>
          <w:szCs w:val="24"/>
        </w:rPr>
        <w:t>ród studentów i pracowników Wydzia</w:t>
      </w:r>
      <w:r w:rsidR="00BB1D1D" w:rsidRPr="00BB1D1D">
        <w:rPr>
          <w:rFonts w:ascii="Times New Roman" w:hAnsi="Times New Roman" w:hint="eastAsia"/>
          <w:sz w:val="24"/>
          <w:szCs w:val="24"/>
        </w:rPr>
        <w:t>ł</w:t>
      </w:r>
      <w:r w:rsidR="00BB1D1D" w:rsidRPr="00BB1D1D">
        <w:rPr>
          <w:rFonts w:ascii="Times New Roman" w:hAnsi="Times New Roman"/>
          <w:sz w:val="24"/>
          <w:szCs w:val="24"/>
        </w:rPr>
        <w:t>u,</w:t>
      </w:r>
    </w:p>
    <w:p w:rsidR="007159EC" w:rsidRPr="007159EC" w:rsidRDefault="007159E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konsultacje wśród absolwentów oraz pracodawców</w:t>
      </w:r>
    </w:p>
    <w:p w:rsidR="007159EC" w:rsidRDefault="007159EC" w:rsidP="00064A6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Spis treści</w:t>
      </w:r>
    </w:p>
    <w:p w:rsidR="004330CA" w:rsidRDefault="004330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0CA" w:rsidRDefault="000570D0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Wydział</w:t>
      </w:r>
      <w:r w:rsidR="007159EC">
        <w:rPr>
          <w:rFonts w:ascii="Times New Roman" w:hAnsi="Times New Roman"/>
          <w:b/>
          <w:sz w:val="24"/>
          <w:szCs w:val="24"/>
        </w:rPr>
        <w:t xml:space="preserve"> Nauk Ekonomicznych</w:t>
      </w:r>
      <w:r>
        <w:rPr>
          <w:rFonts w:ascii="Times New Roman" w:hAnsi="Times New Roman"/>
          <w:b/>
          <w:sz w:val="24"/>
          <w:szCs w:val="24"/>
        </w:rPr>
        <w:t xml:space="preserve"> – rozwój i stan obecny</w:t>
      </w:r>
    </w:p>
    <w:p w:rsidR="004330CA" w:rsidRDefault="000570D0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Misja</w:t>
      </w:r>
    </w:p>
    <w:p w:rsidR="007159EC" w:rsidRPr="004B7340" w:rsidRDefault="007159EC" w:rsidP="00806B5D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340">
        <w:rPr>
          <w:rFonts w:ascii="Times New Roman" w:hAnsi="Times New Roman"/>
          <w:b/>
          <w:sz w:val="24"/>
          <w:szCs w:val="24"/>
        </w:rPr>
        <w:t>Wizja</w:t>
      </w:r>
      <w:r>
        <w:rPr>
          <w:rFonts w:ascii="Times New Roman" w:hAnsi="Times New Roman"/>
          <w:b/>
          <w:sz w:val="24"/>
          <w:szCs w:val="24"/>
        </w:rPr>
        <w:t xml:space="preserve"> przyszłości </w:t>
      </w:r>
      <w:r w:rsidR="000570D0">
        <w:rPr>
          <w:rFonts w:ascii="Times New Roman" w:hAnsi="Times New Roman"/>
          <w:b/>
          <w:sz w:val="24"/>
          <w:szCs w:val="24"/>
        </w:rPr>
        <w:t>WNE</w:t>
      </w:r>
      <w:r w:rsidR="00606028">
        <w:rPr>
          <w:rFonts w:ascii="Times New Roman" w:hAnsi="Times New Roman"/>
          <w:b/>
          <w:sz w:val="24"/>
          <w:szCs w:val="24"/>
        </w:rPr>
        <w:t xml:space="preserve"> </w:t>
      </w:r>
    </w:p>
    <w:p w:rsidR="007159EC" w:rsidRPr="00292AE0" w:rsidRDefault="007159EC" w:rsidP="00806B5D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2AE0">
        <w:rPr>
          <w:rFonts w:ascii="Times New Roman" w:hAnsi="Times New Roman"/>
          <w:b/>
          <w:sz w:val="24"/>
          <w:szCs w:val="24"/>
        </w:rPr>
        <w:t>Uwarunkowania rozwoju</w:t>
      </w:r>
      <w:r w:rsidR="00C00852">
        <w:rPr>
          <w:rFonts w:ascii="Times New Roman" w:hAnsi="Times New Roman"/>
          <w:b/>
          <w:sz w:val="24"/>
          <w:szCs w:val="24"/>
        </w:rPr>
        <w:t xml:space="preserve"> </w:t>
      </w:r>
      <w:r w:rsidRPr="00292AE0">
        <w:rPr>
          <w:rFonts w:ascii="Times New Roman" w:hAnsi="Times New Roman"/>
          <w:b/>
          <w:sz w:val="24"/>
          <w:szCs w:val="24"/>
        </w:rPr>
        <w:t>Wydziału Nauk Ekonomicznych</w:t>
      </w:r>
    </w:p>
    <w:p w:rsidR="007159EC" w:rsidRPr="00857F7F" w:rsidRDefault="007159EC" w:rsidP="005340DA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Cele strategiczne Wydziału Nauk Ekonomicznych</w:t>
      </w:r>
    </w:p>
    <w:p w:rsidR="007159EC" w:rsidRPr="008A78B8" w:rsidRDefault="007159EC" w:rsidP="005340DA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Działania strategiczne</w:t>
      </w:r>
    </w:p>
    <w:p w:rsidR="004330CA" w:rsidRDefault="007159EC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6DB">
        <w:rPr>
          <w:rFonts w:ascii="Times New Roman" w:hAnsi="Times New Roman"/>
          <w:b/>
          <w:sz w:val="24"/>
          <w:szCs w:val="24"/>
        </w:rPr>
        <w:t>Monitoring realizacji strategii</w:t>
      </w:r>
    </w:p>
    <w:p w:rsidR="004330CA" w:rsidRDefault="004330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0CA" w:rsidRDefault="007159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42AB">
        <w:rPr>
          <w:rFonts w:ascii="Times New Roman" w:hAnsi="Times New Roman"/>
          <w:b/>
          <w:sz w:val="24"/>
          <w:szCs w:val="24"/>
        </w:rPr>
        <w:br w:type="page"/>
      </w: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2AE0">
        <w:rPr>
          <w:rFonts w:ascii="Times New Roman" w:hAnsi="Times New Roman"/>
          <w:b/>
          <w:sz w:val="24"/>
          <w:szCs w:val="24"/>
        </w:rPr>
        <w:lastRenderedPageBreak/>
        <w:t>WYDZIAŁ</w:t>
      </w:r>
      <w:r>
        <w:rPr>
          <w:rFonts w:ascii="Times New Roman" w:hAnsi="Times New Roman"/>
          <w:b/>
          <w:sz w:val="24"/>
          <w:szCs w:val="24"/>
        </w:rPr>
        <w:t xml:space="preserve"> NAUK EKONOMICZNYCH</w:t>
      </w:r>
      <w:r w:rsidR="00B265E8">
        <w:rPr>
          <w:rFonts w:ascii="Times New Roman" w:hAnsi="Times New Roman"/>
          <w:b/>
          <w:sz w:val="24"/>
          <w:szCs w:val="24"/>
        </w:rPr>
        <w:t xml:space="preserve">–ROZWÓJ I STAN OBCENY 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Wydział Nauk Ekonomicznych Szkoły Głównej Gospodarstwa Wiejskiego w Warszawie </w:t>
      </w:r>
      <w:r>
        <w:rPr>
          <w:rFonts w:ascii="Times New Roman" w:hAnsi="Times New Roman"/>
          <w:sz w:val="24"/>
          <w:szCs w:val="24"/>
        </w:rPr>
        <w:t xml:space="preserve">tradycją </w:t>
      </w:r>
      <w:r w:rsidRPr="00CC42AB">
        <w:rPr>
          <w:rFonts w:ascii="Times New Roman" w:hAnsi="Times New Roman"/>
          <w:sz w:val="24"/>
          <w:szCs w:val="24"/>
        </w:rPr>
        <w:t>nawiązuje do wydarzeń w początkach XIX wieku, a więc uruchamiania wyższego szkolnictwa rolniczego w Warszawie. W Instytucie Agronomicznym w Marymoncie (1820-1840) wykładano naukę zarządu gospodarskiego, rachunkowość gospodarczą oraz statystykę rolniczą i leśną. Zajęcia z tego zakresu prowadził Dyrektor Instytutu prof. Michał Oczapowski. Na Wydziale Rolniczym Towarzystwa Kursów Naukowych w Warszawie, utworzonym w 1906 roku, jako zalążku Szkoły Głównej Gospodarstwa Wiejskiego, wykładan</w:t>
      </w:r>
      <w:r>
        <w:rPr>
          <w:rFonts w:ascii="Times New Roman" w:hAnsi="Times New Roman"/>
          <w:sz w:val="24"/>
          <w:szCs w:val="24"/>
        </w:rPr>
        <w:t>e</w:t>
      </w:r>
      <w:r w:rsidRPr="00CC42AB">
        <w:rPr>
          <w:rFonts w:ascii="Times New Roman" w:hAnsi="Times New Roman"/>
          <w:sz w:val="24"/>
          <w:szCs w:val="24"/>
        </w:rPr>
        <w:t xml:space="preserve"> był</w:t>
      </w:r>
      <w:r>
        <w:rPr>
          <w:rFonts w:ascii="Times New Roman" w:hAnsi="Times New Roman"/>
          <w:sz w:val="24"/>
          <w:szCs w:val="24"/>
        </w:rPr>
        <w:t>y</w:t>
      </w:r>
      <w:r w:rsidRPr="00CC42AB">
        <w:rPr>
          <w:rFonts w:ascii="Times New Roman" w:hAnsi="Times New Roman"/>
          <w:sz w:val="24"/>
          <w:szCs w:val="24"/>
        </w:rPr>
        <w:t xml:space="preserve"> ekonomia polityczna, administracja, organizacja, taksacja, rachunkowość i prawo rolne. W okresie międzywojennym w SGGW istniały 3 katedry ekonomiczne: Polityki Agrarnej, Polityki Ekonomicznej i Ekonomiki Gospodarstw Wiejskich. Prowadzono wykłady z ekonomiki społecznej, ekonomiki gospodarstw drobnych, ekonomiki ogrodnictwa, handlu ogrodniczego, metodyki badań ekonomicznych, zarządzania i kierownictwa oraz spółdzielczości. 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Zarządzeniem Ministra Szkolnictwa Wyższego z 13 sierpnia 1953 roku powołano Wydział Inżynieryjno-Ekonomiczny Rolnictwa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C42AB">
        <w:rPr>
          <w:rFonts w:ascii="Times New Roman" w:hAnsi="Times New Roman"/>
          <w:sz w:val="24"/>
          <w:szCs w:val="24"/>
        </w:rPr>
        <w:t xml:space="preserve">Pierwszym dziekanem został prof. Stefan Ignar, a prof. Ryszard Manteuffel prodziekanem. Pod koniec 1956 roku Rada Wydziału wystąpiła z wnioskiem o zmianę nazwy na Wydział Ekonomiczno-Rolniczy. Nazwa ta obowiązywała od 1958 do końca 2007 roku. </w:t>
      </w:r>
      <w:r w:rsidR="00B265E8">
        <w:rPr>
          <w:rFonts w:ascii="Times New Roman" w:hAnsi="Times New Roman"/>
          <w:sz w:val="24"/>
          <w:szCs w:val="24"/>
        </w:rPr>
        <w:t>W 2007 roku w związku z poszerzaniem zakresu zainteresowań naukowych pracowników i tworzeniem nowych kierunków kształcenia postanowiono, że o</w:t>
      </w:r>
      <w:r w:rsidRPr="00CC42AB">
        <w:rPr>
          <w:rFonts w:ascii="Times New Roman" w:hAnsi="Times New Roman"/>
          <w:sz w:val="24"/>
          <w:szCs w:val="24"/>
        </w:rPr>
        <w:t xml:space="preserve">d 1 stycznia 2008 roku </w:t>
      </w:r>
      <w:r w:rsidR="00B265E8">
        <w:rPr>
          <w:rFonts w:ascii="Times New Roman" w:hAnsi="Times New Roman"/>
          <w:sz w:val="24"/>
          <w:szCs w:val="24"/>
        </w:rPr>
        <w:t>nastąpi zmiana nazwy na obecną</w:t>
      </w:r>
      <w:r w:rsidRPr="00CC42AB">
        <w:rPr>
          <w:rFonts w:ascii="Times New Roman" w:hAnsi="Times New Roman"/>
          <w:sz w:val="24"/>
          <w:szCs w:val="24"/>
        </w:rPr>
        <w:t>: Wydział Nauk Ekonomicznych.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Obecnie Wydział Nauk Ekonomicznych tworzy pięć katedr, które realizują badania naukowe oraz prowadzą działalność dydaktyczną i upowszechnieniową. Są to: Katedra Ekonomii i Polityki Gospodarczej; Katedra Ekonomiki i Organizacji Przedsiębiorstw; Katedra Polityki Europejskiej, Finansów Publicznych i Marketingu; Katedra Ekonomiki Rolnictwa i Międzynarodowych Stosunków Gospodarczych; Katedra Ekonomiki Edukacji, Komunikowania i Doradztwa. W ramach katedr wyodrębnione są zakłady</w:t>
      </w:r>
      <w:r>
        <w:rPr>
          <w:rFonts w:ascii="Times New Roman" w:hAnsi="Times New Roman"/>
          <w:sz w:val="24"/>
          <w:szCs w:val="24"/>
        </w:rPr>
        <w:t>.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Na Wydziale Nauk Ekonomicznych oferowane jest </w:t>
      </w:r>
      <w:r>
        <w:rPr>
          <w:rFonts w:ascii="Times New Roman" w:hAnsi="Times New Roman"/>
          <w:sz w:val="24"/>
          <w:szCs w:val="24"/>
        </w:rPr>
        <w:t xml:space="preserve">kształcenie </w:t>
      </w:r>
      <w:r w:rsidRPr="00CC42AB">
        <w:rPr>
          <w:rFonts w:ascii="Times New Roman" w:hAnsi="Times New Roman"/>
          <w:sz w:val="24"/>
          <w:szCs w:val="24"/>
        </w:rPr>
        <w:t xml:space="preserve">na studiach pierwszego i drugiego stopnia w systemie stacjonarnym i niestacjonarnym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CC42AB">
        <w:rPr>
          <w:rFonts w:ascii="Times New Roman" w:hAnsi="Times New Roman"/>
          <w:sz w:val="24"/>
          <w:szCs w:val="24"/>
        </w:rPr>
        <w:t>pię</w:t>
      </w:r>
      <w:r>
        <w:rPr>
          <w:rFonts w:ascii="Times New Roman" w:hAnsi="Times New Roman"/>
          <w:sz w:val="24"/>
          <w:szCs w:val="24"/>
        </w:rPr>
        <w:t>ciu</w:t>
      </w:r>
      <w:r w:rsidRPr="00CC42AB">
        <w:rPr>
          <w:rFonts w:ascii="Times New Roman" w:hAnsi="Times New Roman"/>
          <w:sz w:val="24"/>
          <w:szCs w:val="24"/>
        </w:rPr>
        <w:t xml:space="preserve"> kierunk</w:t>
      </w:r>
      <w:r>
        <w:rPr>
          <w:rFonts w:ascii="Times New Roman" w:hAnsi="Times New Roman"/>
          <w:sz w:val="24"/>
          <w:szCs w:val="24"/>
        </w:rPr>
        <w:t>ach</w:t>
      </w:r>
      <w:r w:rsidRPr="00CC42AB">
        <w:rPr>
          <w:rFonts w:ascii="Times New Roman" w:hAnsi="Times New Roman"/>
          <w:sz w:val="24"/>
          <w:szCs w:val="24"/>
        </w:rPr>
        <w:t xml:space="preserve"> studiów: ekonomia, zarządzanie, finanse i rachunkowość, logistyka oraz turystyka i rekreacja. Prowadzone są także stacjonarne i niestacjonarne studia trzeciego stopnia </w:t>
      </w:r>
      <w:r>
        <w:rPr>
          <w:rFonts w:ascii="Times New Roman" w:hAnsi="Times New Roman"/>
          <w:sz w:val="24"/>
          <w:szCs w:val="24"/>
        </w:rPr>
        <w:t xml:space="preserve">(doktorskie) </w:t>
      </w:r>
      <w:r w:rsidRPr="00CC42AB">
        <w:rPr>
          <w:rFonts w:ascii="Times New Roman" w:hAnsi="Times New Roman"/>
          <w:sz w:val="24"/>
          <w:szCs w:val="24"/>
        </w:rPr>
        <w:t>w zakresie ekonomii oraz studia podyplomowe. Wydział po</w:t>
      </w:r>
      <w:r w:rsidRPr="006A0992">
        <w:rPr>
          <w:rFonts w:ascii="Times New Roman" w:hAnsi="Times New Roman"/>
          <w:sz w:val="24"/>
          <w:szCs w:val="24"/>
        </w:rPr>
        <w:t>siada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6A0992">
        <w:rPr>
          <w:rFonts w:ascii="Times New Roman" w:hAnsi="Times New Roman"/>
          <w:sz w:val="24"/>
          <w:szCs w:val="24"/>
        </w:rPr>
        <w:t>pełne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 xml:space="preserve">prawa akademickie w zakresie nadawania stopni naukowych doktora i doktora habilitowanego oraz występowania o nadanie tytuł profesora w zakresie nauk ekonomicznych. Programy studiów są </w:t>
      </w:r>
      <w:r>
        <w:rPr>
          <w:rFonts w:ascii="Times New Roman" w:hAnsi="Times New Roman"/>
          <w:sz w:val="24"/>
          <w:szCs w:val="24"/>
        </w:rPr>
        <w:t xml:space="preserve">zgodne z obowiązującymi </w:t>
      </w:r>
      <w:r w:rsidRPr="00CC42AB">
        <w:rPr>
          <w:rFonts w:ascii="Times New Roman" w:hAnsi="Times New Roman"/>
          <w:sz w:val="24"/>
          <w:szCs w:val="24"/>
        </w:rPr>
        <w:t>standard</w:t>
      </w:r>
      <w:r>
        <w:rPr>
          <w:rFonts w:ascii="Times New Roman" w:hAnsi="Times New Roman"/>
          <w:sz w:val="24"/>
          <w:szCs w:val="24"/>
        </w:rPr>
        <w:t>ami</w:t>
      </w:r>
      <w:r w:rsidRPr="00CC42AB">
        <w:rPr>
          <w:rFonts w:ascii="Times New Roman" w:hAnsi="Times New Roman"/>
          <w:sz w:val="24"/>
          <w:szCs w:val="24"/>
        </w:rPr>
        <w:t xml:space="preserve"> nauczania</w:t>
      </w:r>
      <w:r>
        <w:rPr>
          <w:rFonts w:ascii="Times New Roman" w:hAnsi="Times New Roman"/>
          <w:sz w:val="24"/>
          <w:szCs w:val="24"/>
        </w:rPr>
        <w:t xml:space="preserve"> na poszczególnych kierunkach oraz wytycznymi w zakresie efektów kształcenia w obszarze nauk ekonomicznych w ramach Krajowych Ram Kwalifikacji.</w:t>
      </w:r>
      <w:r w:rsidRPr="00CC42AB">
        <w:rPr>
          <w:rFonts w:ascii="Times New Roman" w:hAnsi="Times New Roman"/>
          <w:sz w:val="24"/>
          <w:szCs w:val="24"/>
        </w:rPr>
        <w:t xml:space="preserve">. Studenci realizują przedmioty obowiązkowe i do wyboru. Od 2010r.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CC42AB">
        <w:rPr>
          <w:rFonts w:ascii="Times New Roman" w:hAnsi="Times New Roman"/>
          <w:sz w:val="24"/>
          <w:szCs w:val="24"/>
        </w:rPr>
        <w:t xml:space="preserve">Wydziale </w:t>
      </w:r>
      <w:r>
        <w:rPr>
          <w:rFonts w:ascii="Times New Roman" w:hAnsi="Times New Roman"/>
          <w:sz w:val="24"/>
          <w:szCs w:val="24"/>
        </w:rPr>
        <w:t xml:space="preserve">Nauk Ekonomicznych </w:t>
      </w:r>
      <w:r w:rsidRPr="00CC42AB">
        <w:rPr>
          <w:rFonts w:ascii="Times New Roman" w:hAnsi="Times New Roman"/>
          <w:sz w:val="24"/>
          <w:szCs w:val="24"/>
        </w:rPr>
        <w:t xml:space="preserve">są prowadzone studia </w:t>
      </w:r>
      <w:r>
        <w:rPr>
          <w:rFonts w:ascii="Times New Roman" w:hAnsi="Times New Roman"/>
          <w:sz w:val="24"/>
          <w:szCs w:val="24"/>
        </w:rPr>
        <w:t>w języku angielskim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 xml:space="preserve">na kierunku ekonomia </w:t>
      </w:r>
      <w:r>
        <w:rPr>
          <w:rFonts w:ascii="Times New Roman" w:hAnsi="Times New Roman"/>
          <w:sz w:val="24"/>
          <w:szCs w:val="24"/>
        </w:rPr>
        <w:t xml:space="preserve">na studiach </w:t>
      </w:r>
      <w:r w:rsidRPr="00CC42AB">
        <w:rPr>
          <w:rFonts w:ascii="Times New Roman" w:hAnsi="Times New Roman"/>
          <w:sz w:val="24"/>
          <w:szCs w:val="24"/>
        </w:rPr>
        <w:t>drugiego stopnia</w:t>
      </w:r>
      <w:r>
        <w:rPr>
          <w:rFonts w:ascii="Times New Roman" w:hAnsi="Times New Roman"/>
          <w:sz w:val="24"/>
          <w:szCs w:val="24"/>
        </w:rPr>
        <w:t>;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 xml:space="preserve">zajęcia w języku angielskim prowadzone </w:t>
      </w:r>
      <w:r>
        <w:rPr>
          <w:rFonts w:ascii="Times New Roman" w:hAnsi="Times New Roman"/>
          <w:sz w:val="24"/>
          <w:szCs w:val="24"/>
        </w:rPr>
        <w:t xml:space="preserve">są także </w:t>
      </w:r>
      <w:r w:rsidRPr="00CC42AB">
        <w:rPr>
          <w:rFonts w:ascii="Times New Roman" w:hAnsi="Times New Roman"/>
          <w:sz w:val="24"/>
          <w:szCs w:val="24"/>
        </w:rPr>
        <w:t>w ramach oferty ogólnouczelnianej</w:t>
      </w:r>
      <w:r>
        <w:rPr>
          <w:rFonts w:ascii="Times New Roman" w:hAnsi="Times New Roman"/>
          <w:sz w:val="24"/>
          <w:szCs w:val="24"/>
        </w:rPr>
        <w:t xml:space="preserve"> dla studentów z innych wydziałów i uczestniczących w programach wymiany międzynarodowej</w:t>
      </w:r>
      <w:r w:rsidRPr="00CC42AB">
        <w:rPr>
          <w:rFonts w:ascii="Times New Roman" w:hAnsi="Times New Roman"/>
          <w:sz w:val="24"/>
          <w:szCs w:val="24"/>
        </w:rPr>
        <w:t>. Wybrane przedmioty z oferty Wydziału oferowane są także w ramach kształcenia na odległość, w tym w ramach e-learningu. Zgodnie z programem studiów studenci kształcą się także w ramach praktyk oraz mają m</w:t>
      </w:r>
      <w:r>
        <w:rPr>
          <w:rFonts w:ascii="Times New Roman" w:hAnsi="Times New Roman"/>
          <w:sz w:val="24"/>
          <w:szCs w:val="24"/>
        </w:rPr>
        <w:t>ożl</w:t>
      </w:r>
      <w:r w:rsidRPr="00CC42AB">
        <w:rPr>
          <w:rFonts w:ascii="Times New Roman" w:hAnsi="Times New Roman"/>
          <w:sz w:val="24"/>
          <w:szCs w:val="24"/>
        </w:rPr>
        <w:t xml:space="preserve">iwość skorzystania z bogatej oferty kształcenia zagranicą. 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Wydział Nauk Ekonomicznych prowadzi samodzielnie oraz we współpracy z wiodącymi ośrodkami krajowymi i zagranicznymi badania naukowe i prace rozwojowe w ramach głównych obszarów badawczych, takich jak :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lastRenderedPageBreak/>
        <w:t>Polityka i strategia rozwoju rolnictwa oraz handlu rolnego na obszarach wiejskich w Polsce w kontekście Wspólnej Polityki Rolnej UE.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Globalizacja gospodarki światowej i jej wpływ na gospodarkę Polski.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Przemiany w gospodarce żywnościowej w krajach europejskich.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Metody prognozowania zjawisk i procesów gospodarczych.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Zarządzanie gospodarstwami i przedsiębiorstwami rolniczymi oraz z innych gałęzi agrobiznesu w warunkach funkcjonowania w UE.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Zastosowanie metod statystycznych i ekonometrycznych do analizy zjawisk gospodarczych.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Edukacja, komunikowanie i doradztwo w rozwoju lokalnym oraz regionalnym.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Finanse w działalności gospodarczej i publicznej, rachunkowość przedsiębiorstw.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Zrównoważony rozwój w rolnictwie i gospodarce.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Funkcjonowanie </w:t>
      </w:r>
      <w:r w:rsidRPr="00CC42AB">
        <w:rPr>
          <w:rFonts w:ascii="Times New Roman" w:hAnsi="Times New Roman"/>
          <w:sz w:val="24"/>
          <w:szCs w:val="24"/>
        </w:rPr>
        <w:t>logistyki w przedsiębiorstwach, ze szczególnym uwzględnieniem jednostek agrobiznesu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Rozwój i rola turystyki i agroturystyki w rozwoju regionalnym i rozwoju obszarów wiejskich.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Rola, znaczenie i biogospodarki w gospodarce narodowej i rozwoju obszarów wiejskich.</w:t>
      </w:r>
    </w:p>
    <w:p w:rsidR="004330CA" w:rsidRDefault="007159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Wydział samodzielnie oraz we współpracy z innymi ośrodkami akademickimi wydaje następujące czasopisma naukowe: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Acta </w:t>
      </w:r>
      <w:r w:rsidR="00F7476E" w:rsidRPr="00CC42AB">
        <w:rPr>
          <w:rFonts w:ascii="Times New Roman" w:hAnsi="Times New Roman"/>
          <w:sz w:val="24"/>
          <w:szCs w:val="24"/>
        </w:rPr>
        <w:t>Scientarum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>Polonorum</w:t>
      </w:r>
      <w:r>
        <w:rPr>
          <w:rFonts w:ascii="Times New Roman" w:hAnsi="Times New Roman"/>
          <w:sz w:val="24"/>
          <w:szCs w:val="24"/>
        </w:rPr>
        <w:t>, O</w:t>
      </w:r>
      <w:r w:rsidRPr="00CC42AB">
        <w:rPr>
          <w:rFonts w:ascii="Times New Roman" w:hAnsi="Times New Roman"/>
          <w:sz w:val="24"/>
          <w:szCs w:val="24"/>
        </w:rPr>
        <w:t>economia</w:t>
      </w:r>
      <w:r>
        <w:rPr>
          <w:rFonts w:ascii="Times New Roman" w:hAnsi="Times New Roman"/>
          <w:sz w:val="24"/>
          <w:szCs w:val="24"/>
        </w:rPr>
        <w:t>,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Zeszyty Naukowe SGGW w Warszawie seria Problemy Rolnictwa Światowego</w:t>
      </w:r>
      <w:r>
        <w:rPr>
          <w:rFonts w:ascii="Times New Roman" w:hAnsi="Times New Roman"/>
          <w:sz w:val="24"/>
          <w:szCs w:val="24"/>
        </w:rPr>
        <w:t>,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Roczniki </w:t>
      </w:r>
      <w:r>
        <w:rPr>
          <w:rFonts w:ascii="Times New Roman" w:hAnsi="Times New Roman"/>
          <w:sz w:val="24"/>
          <w:szCs w:val="24"/>
        </w:rPr>
        <w:t>Ekonomii Rolnictwa i Rozwoju Obszarów Wiejskich,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CC42AB">
        <w:rPr>
          <w:rFonts w:ascii="Times New Roman" w:hAnsi="Times New Roman"/>
          <w:sz w:val="24"/>
          <w:szCs w:val="24"/>
        </w:rPr>
        <w:t>eszyty Naukowe SGGW w Warszawie</w:t>
      </w:r>
      <w:r>
        <w:rPr>
          <w:rFonts w:ascii="Times New Roman" w:hAnsi="Times New Roman"/>
          <w:sz w:val="24"/>
          <w:szCs w:val="24"/>
        </w:rPr>
        <w:t>,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>Polityki Europejskie, Finanse i Marketing</w:t>
      </w:r>
      <w:r>
        <w:rPr>
          <w:rFonts w:ascii="Times New Roman" w:hAnsi="Times New Roman"/>
          <w:sz w:val="24"/>
          <w:szCs w:val="24"/>
        </w:rPr>
        <w:t>,</w:t>
      </w:r>
    </w:p>
    <w:p w:rsidR="004330CA" w:rsidRDefault="007159E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Zeszyty Naukowe Ekonomika i Organizacja Gospodarki Żywnościowej</w:t>
      </w:r>
      <w:r>
        <w:rPr>
          <w:rFonts w:ascii="Times New Roman" w:hAnsi="Times New Roman"/>
          <w:sz w:val="24"/>
          <w:szCs w:val="24"/>
        </w:rPr>
        <w:t>,</w:t>
      </w:r>
    </w:p>
    <w:p w:rsidR="004330CA" w:rsidRDefault="00BB1D1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BB1D1D">
        <w:rPr>
          <w:rFonts w:ascii="Times New Roman" w:hAnsi="Times New Roman"/>
          <w:sz w:val="24"/>
          <w:szCs w:val="24"/>
          <w:lang w:val="en-US"/>
        </w:rPr>
        <w:t xml:space="preserve">Electronic Journal of Polish Agricultural </w:t>
      </w:r>
      <w:r w:rsidR="00B265E8" w:rsidRPr="00B265E8">
        <w:rPr>
          <w:rFonts w:ascii="Times New Roman" w:hAnsi="Times New Roman"/>
          <w:sz w:val="24"/>
          <w:szCs w:val="24"/>
          <w:lang w:val="en-US"/>
        </w:rPr>
        <w:t>Universities</w:t>
      </w:r>
      <w:r w:rsidRPr="00BB1D1D">
        <w:rPr>
          <w:rFonts w:ascii="Times New Roman" w:hAnsi="Times New Roman"/>
          <w:sz w:val="24"/>
          <w:szCs w:val="24"/>
          <w:lang w:val="en-US"/>
        </w:rPr>
        <w:t>, seri</w:t>
      </w:r>
      <w:r w:rsidR="00B265E8">
        <w:rPr>
          <w:rFonts w:ascii="Times New Roman" w:hAnsi="Times New Roman"/>
          <w:sz w:val="24"/>
          <w:szCs w:val="24"/>
          <w:lang w:val="en-US"/>
        </w:rPr>
        <w:t>e</w:t>
      </w:r>
      <w:r w:rsidR="00C0085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265E8">
        <w:rPr>
          <w:rFonts w:ascii="Times New Roman" w:hAnsi="Times New Roman"/>
          <w:sz w:val="24"/>
          <w:szCs w:val="24"/>
          <w:lang w:val="en-US"/>
        </w:rPr>
        <w:t>Economics.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Wydział od początku swojego istnienia intensywnie rozwija współpracę ze środowiskiem społeczno-gospodarczym, dużą rolę przykładając do transferu wiedzy do praktyki gospodarczej.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159EC" w:rsidRDefault="007159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340">
        <w:rPr>
          <w:rFonts w:ascii="Times New Roman" w:hAnsi="Times New Roman"/>
          <w:b/>
          <w:sz w:val="24"/>
          <w:szCs w:val="24"/>
        </w:rPr>
        <w:lastRenderedPageBreak/>
        <w:t>Misja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00852" w:rsidRDefault="008369B4" w:rsidP="00000A14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8369B4">
        <w:rPr>
          <w:rFonts w:ascii="Times New Roman" w:hAnsi="Times New Roman"/>
          <w:b/>
          <w:i/>
          <w:sz w:val="24"/>
          <w:szCs w:val="24"/>
        </w:rPr>
        <w:t xml:space="preserve">Misją Wydziału Nauk Ekonomicznych jest prowadzenie badań naukowych na najwyższym poziomie w zakresie nauk ekonomicznych, szczególnie w dziedzinie rolnictwa, obszarów wiejskich i agrobiznesu oraz prowadzenie kształcenia na poziomie akademickim w celu wspierania rozwoju społeczno-gospodarczego i intelektualnego społeczeństwa polskiego. Podstawowym zadaniem jest przygotowanie absolwentów gotowych </w:t>
      </w:r>
      <w:r w:rsidR="00E564C3">
        <w:rPr>
          <w:rFonts w:ascii="Times New Roman" w:hAnsi="Times New Roman"/>
          <w:b/>
          <w:i/>
          <w:sz w:val="24"/>
          <w:szCs w:val="24"/>
        </w:rPr>
        <w:t>sprostać</w:t>
      </w:r>
      <w:r w:rsidR="00E9158C">
        <w:rPr>
          <w:rFonts w:ascii="Times New Roman" w:hAnsi="Times New Roman"/>
          <w:b/>
          <w:i/>
          <w:sz w:val="24"/>
          <w:szCs w:val="24"/>
        </w:rPr>
        <w:t xml:space="preserve"> wyzwaniom współczesnej gospodarki. Podstawą sukcesów Wydziału jest profesjonalizm, dbałość o jakość, pracowitość oraz innowacyjność kadry akademickiej i studentów.</w:t>
      </w:r>
    </w:p>
    <w:p w:rsidR="008369B4" w:rsidRPr="00CF3632" w:rsidRDefault="008369B4" w:rsidP="00000A14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330CA" w:rsidRDefault="007159EC">
      <w:pPr>
        <w:pStyle w:val="Tekstpodstawowywcity"/>
        <w:ind w:firstLine="426"/>
      </w:pPr>
      <w:r w:rsidRPr="00B716A4">
        <w:t>Misja Wydziału stanowi podstawę do określenia kierunków i celów</w:t>
      </w:r>
      <w:r w:rsidR="00C00852">
        <w:t xml:space="preserve"> </w:t>
      </w:r>
      <w:r w:rsidRPr="00B716A4">
        <w:t>jego rozwoju.</w:t>
      </w:r>
    </w:p>
    <w:p w:rsidR="007159EC" w:rsidRPr="00B716A4" w:rsidRDefault="007159EC" w:rsidP="008A3C5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7340">
        <w:rPr>
          <w:rFonts w:ascii="Times New Roman" w:hAnsi="Times New Roman"/>
          <w:b/>
          <w:sz w:val="24"/>
          <w:szCs w:val="24"/>
        </w:rPr>
        <w:t>Wizja</w:t>
      </w:r>
      <w:r>
        <w:rPr>
          <w:rFonts w:ascii="Times New Roman" w:hAnsi="Times New Roman"/>
          <w:b/>
          <w:sz w:val="24"/>
          <w:szCs w:val="24"/>
        </w:rPr>
        <w:t xml:space="preserve"> przyszłości WNE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Tekstpodstawowywcity"/>
        <w:ind w:firstLine="426"/>
      </w:pPr>
      <w:r w:rsidRPr="00CC42AB">
        <w:t xml:space="preserve">Wydział Nauk Ekonomicznych SGGW </w:t>
      </w:r>
      <w:r>
        <w:t xml:space="preserve">w Warszawie </w:t>
      </w:r>
      <w:r w:rsidRPr="00CC42AB">
        <w:t>do roku 2020</w:t>
      </w:r>
      <w:r w:rsidR="00C00852">
        <w:t xml:space="preserve"> </w:t>
      </w:r>
      <w:r w:rsidRPr="00CC42AB">
        <w:t>będzie</w:t>
      </w:r>
      <w:r w:rsidR="00C00852">
        <w:t xml:space="preserve"> </w:t>
      </w:r>
      <w:r w:rsidRPr="0082587B">
        <w:t>wiodącą</w:t>
      </w:r>
      <w:r w:rsidR="00C00852">
        <w:t xml:space="preserve"> krajową </w:t>
      </w:r>
      <w:r>
        <w:t>jednostką</w:t>
      </w:r>
      <w:r w:rsidRPr="00CC42AB">
        <w:t xml:space="preserve"> naukowo-dydaktyczn</w:t>
      </w:r>
      <w:r>
        <w:t>ą</w:t>
      </w:r>
      <w:r w:rsidRPr="00CC42AB">
        <w:t xml:space="preserve"> zorientowan</w:t>
      </w:r>
      <w:r>
        <w:t>ą</w:t>
      </w:r>
      <w:r w:rsidRPr="00CC42AB">
        <w:t xml:space="preserve"> na rozwijanie osobowości i rozszerzanie horyzontów intelektualnych studentów i pracowników, kształc</w:t>
      </w:r>
      <w:r>
        <w:t>ącą</w:t>
      </w:r>
      <w:r w:rsidRPr="00CC42AB">
        <w:t xml:space="preserve"> zgodnie z</w:t>
      </w:r>
      <w:r w:rsidR="00C00852">
        <w:t xml:space="preserve"> </w:t>
      </w:r>
      <w:r w:rsidRPr="00CC42AB">
        <w:t>potrzebami rynku, realizując</w:t>
      </w:r>
      <w:r>
        <w:t>ą</w:t>
      </w:r>
      <w:r w:rsidR="00C00852">
        <w:t xml:space="preserve"> </w:t>
      </w:r>
      <w:r w:rsidRPr="00CC42AB">
        <w:t xml:space="preserve">programy badawcze zarówno krajowe jak i o zasięgu międzynarodowym, których wyniki </w:t>
      </w:r>
      <w:r>
        <w:t>znajdują</w:t>
      </w:r>
      <w:r w:rsidRPr="00CC42AB">
        <w:t xml:space="preserve"> zastosowanie w praktyce gospodarczej; wspierając</w:t>
      </w:r>
      <w:r>
        <w:t>ą</w:t>
      </w:r>
      <w:r w:rsidRPr="00CC42AB">
        <w:t xml:space="preserve"> rozwój kadry badawczej oraz zapewniając</w:t>
      </w:r>
      <w:r>
        <w:t>ą</w:t>
      </w:r>
      <w:r w:rsidRPr="00CC42AB">
        <w:t xml:space="preserve"> programy </w:t>
      </w:r>
      <w:r>
        <w:t>studiów</w:t>
      </w:r>
      <w:r w:rsidRPr="00CC42AB">
        <w:t xml:space="preserve"> na najwyższym poziomie.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2AE0">
        <w:rPr>
          <w:rFonts w:ascii="Times New Roman" w:hAnsi="Times New Roman"/>
          <w:b/>
          <w:sz w:val="24"/>
          <w:szCs w:val="24"/>
        </w:rPr>
        <w:t>Uwarunkowania rozwoju</w:t>
      </w:r>
      <w:r w:rsidR="00C00852">
        <w:rPr>
          <w:rFonts w:ascii="Times New Roman" w:hAnsi="Times New Roman"/>
          <w:b/>
          <w:sz w:val="24"/>
          <w:szCs w:val="24"/>
        </w:rPr>
        <w:t xml:space="preserve"> </w:t>
      </w:r>
      <w:r w:rsidRPr="00292AE0">
        <w:rPr>
          <w:rFonts w:ascii="Times New Roman" w:hAnsi="Times New Roman"/>
          <w:b/>
          <w:sz w:val="24"/>
          <w:szCs w:val="24"/>
        </w:rPr>
        <w:t>Wydziału Nauk Ekonomicznych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Tekstpodstawowywcity"/>
        <w:ind w:firstLine="426"/>
      </w:pPr>
      <w:r w:rsidRPr="00CC42AB">
        <w:t xml:space="preserve">Rolą współczesnej szkoły wyższej jest prowadzenie działalności edukacyjnej i badawczej oraz aktywne uczestnictwo w kreowaniu rozwoju </w:t>
      </w:r>
      <w:r>
        <w:t>społeczno-</w:t>
      </w:r>
      <w:r w:rsidRPr="00CC42AB">
        <w:t>ekonomicznego przy wykorzystaniu posiadanych zasobów</w:t>
      </w:r>
      <w:r>
        <w:t>.</w:t>
      </w:r>
      <w:r w:rsidRPr="00CC42AB">
        <w:t xml:space="preserve"> Niezbędna jest jej współpraca w tym zakresie z otoczeniem ekonomicznym, społecznym, politycznym, zarówno w wymiarze lokalnym, regionalnym, krajowym jak i międzynarodowym. Rozwój Wydziału Nauk Ekonomicznych na początku XXI wieku kształtują trendy w zakresie demografii, kształcenia, </w:t>
      </w:r>
      <w:r>
        <w:t xml:space="preserve">kierunków </w:t>
      </w:r>
      <w:r w:rsidRPr="00CC42AB">
        <w:t xml:space="preserve">badań i </w:t>
      </w:r>
      <w:r>
        <w:t xml:space="preserve">zmian w zakresie i poziomie </w:t>
      </w:r>
      <w:r w:rsidRPr="00CC42AB">
        <w:t>finansowania szkolnictwa wyższego. Zestawienie kluczowych czynników kształtujących sytuację Wydziału przedstawia analiza SWOT.</w:t>
      </w:r>
    </w:p>
    <w:p w:rsidR="007159EC" w:rsidRDefault="007159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330CA" w:rsidRPr="00F7476E" w:rsidRDefault="00BF32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</w:t>
      </w:r>
      <w:r w:rsidR="000570D0">
        <w:rPr>
          <w:rFonts w:ascii="Times New Roman" w:hAnsi="Times New Roman"/>
          <w:b/>
          <w:sz w:val="24"/>
          <w:szCs w:val="24"/>
        </w:rPr>
        <w:t>naliza s</w:t>
      </w:r>
      <w:bookmarkStart w:id="0" w:name="_GoBack"/>
      <w:bookmarkEnd w:id="0"/>
      <w:r w:rsidR="007159EC" w:rsidRPr="00CC42AB">
        <w:rPr>
          <w:rFonts w:ascii="Times New Roman" w:hAnsi="Times New Roman"/>
          <w:b/>
          <w:sz w:val="24"/>
          <w:szCs w:val="24"/>
        </w:rPr>
        <w:t>trategiczna SWOT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BF326D" w:rsidRPr="00BA1172" w:rsidTr="0082587B">
        <w:tc>
          <w:tcPr>
            <w:tcW w:w="5070" w:type="dxa"/>
          </w:tcPr>
          <w:p w:rsidR="00BF326D" w:rsidRPr="00BA1172" w:rsidRDefault="00BF326D" w:rsidP="00BA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7476E">
              <w:rPr>
                <w:rFonts w:ascii="Times New Roman" w:hAnsi="Times New Roman"/>
                <w:b/>
                <w:sz w:val="24"/>
                <w:szCs w:val="24"/>
              </w:rPr>
              <w:t>Szanse</w:t>
            </w:r>
          </w:p>
        </w:tc>
        <w:tc>
          <w:tcPr>
            <w:tcW w:w="4142" w:type="dxa"/>
          </w:tcPr>
          <w:p w:rsidR="00BF326D" w:rsidRPr="00BA1172" w:rsidRDefault="00BF326D" w:rsidP="00BA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Zagrożenia </w:t>
            </w:r>
          </w:p>
        </w:tc>
      </w:tr>
      <w:tr w:rsidR="007159EC" w:rsidRPr="00BA1172" w:rsidTr="0082587B">
        <w:tc>
          <w:tcPr>
            <w:tcW w:w="5070" w:type="dxa"/>
          </w:tcPr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7159EC" w:rsidRPr="00BA1172">
              <w:rPr>
                <w:rFonts w:ascii="Times New Roman" w:hAnsi="Times New Roman"/>
              </w:rPr>
              <w:t>uże zainteresowanie studiami ekonomicznymi wśród uczniów szkół ponadgimnazjalnych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>zrost zainteresowania kształceniem się wśród osób pracujących zawodowo (kursy i kształcenie podyplomowe – doskonalenie zawodowe, zmiana kwalifikacji)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7159EC">
              <w:rPr>
                <w:rFonts w:ascii="Times New Roman" w:hAnsi="Times New Roman"/>
              </w:rPr>
              <w:t xml:space="preserve">uże </w:t>
            </w:r>
            <w:r w:rsidR="007159EC" w:rsidRPr="00BA1172">
              <w:rPr>
                <w:rFonts w:ascii="Times New Roman" w:hAnsi="Times New Roman"/>
              </w:rPr>
              <w:t>zapotrzebowani</w:t>
            </w:r>
            <w:r w:rsidR="007159EC">
              <w:rPr>
                <w:rFonts w:ascii="Times New Roman" w:hAnsi="Times New Roman"/>
              </w:rPr>
              <w:t>e</w:t>
            </w:r>
            <w:r w:rsidR="007159EC" w:rsidRPr="00BA1172">
              <w:rPr>
                <w:rFonts w:ascii="Times New Roman" w:hAnsi="Times New Roman"/>
              </w:rPr>
              <w:t xml:space="preserve"> na wykształconych pracowników związany ze zmianami w gospodarce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7159EC" w:rsidRPr="00BA1172">
              <w:rPr>
                <w:rFonts w:ascii="Times New Roman" w:hAnsi="Times New Roman"/>
              </w:rPr>
              <w:t>ostęp do środków i programów międzynarodowych, szczególnie UE (nowy program finansowania badań naukowych Horyzont 2020)</w:t>
            </w:r>
            <w:r>
              <w:rPr>
                <w:rFonts w:ascii="Times New Roman" w:hAnsi="Times New Roman"/>
              </w:rPr>
              <w:t>.</w:t>
            </w:r>
          </w:p>
          <w:p w:rsidR="004330CA" w:rsidRDefault="00BF326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>zrost zainteresowania przedsiębiorców i samorządów współpracą z ośrodkami akademickimi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F326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Z</w:t>
            </w:r>
            <w:r w:rsidR="007159EC" w:rsidRPr="00BA1172">
              <w:rPr>
                <w:rFonts w:ascii="Times New Roman" w:hAnsi="Times New Roman"/>
              </w:rPr>
              <w:t>ainteresowanie studiami w Polsce ze strony obywateli krajów Europy Wschodniej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42" w:type="dxa"/>
          </w:tcPr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159EC" w:rsidRPr="00BA1172">
              <w:rPr>
                <w:rFonts w:ascii="Times New Roman" w:hAnsi="Times New Roman"/>
              </w:rPr>
              <w:t xml:space="preserve">miany </w:t>
            </w:r>
            <w:r w:rsidR="00F7476E" w:rsidRPr="00BA1172">
              <w:rPr>
                <w:rFonts w:ascii="Times New Roman" w:hAnsi="Times New Roman"/>
              </w:rPr>
              <w:t>demograficzne wpływające</w:t>
            </w:r>
            <w:r w:rsidR="007159EC" w:rsidRPr="00BA1172">
              <w:rPr>
                <w:rFonts w:ascii="Times New Roman" w:hAnsi="Times New Roman"/>
              </w:rPr>
              <w:t xml:space="preserve"> ujemnie na ogólna liczbę kandydatów na studia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159EC" w:rsidRPr="00BA1172">
              <w:rPr>
                <w:rFonts w:ascii="Times New Roman" w:hAnsi="Times New Roman"/>
              </w:rPr>
              <w:t>rak możliwości wzrostu nakładów na finansowanie działalności badawczej dydaktycznej wynikający z sytuacji finansów publicznych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>zrost konkurencji na rynku edukacyjnym w zakresie kształcenia na poziomie wyższym w tym zagranicznej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F326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Z</w:t>
            </w:r>
            <w:r w:rsidR="007159EC" w:rsidRPr="00BA1172">
              <w:rPr>
                <w:rFonts w:ascii="Times New Roman" w:hAnsi="Times New Roman"/>
              </w:rPr>
              <w:t xml:space="preserve">miany </w:t>
            </w:r>
            <w:r w:rsidR="00F7476E" w:rsidRPr="00BA1172">
              <w:rPr>
                <w:rFonts w:ascii="Times New Roman" w:hAnsi="Times New Roman"/>
              </w:rPr>
              <w:t>regulacji prawnych</w:t>
            </w:r>
            <w:r w:rsidR="007159EC" w:rsidRPr="00BA1172">
              <w:rPr>
                <w:rFonts w:ascii="Times New Roman" w:hAnsi="Times New Roman"/>
              </w:rPr>
              <w:t xml:space="preserve"> w zakresie funkcjonowania szkolnictwa wyższego i </w:t>
            </w:r>
            <w:r w:rsidR="00F7476E" w:rsidRPr="00BA1172">
              <w:rPr>
                <w:rFonts w:ascii="Times New Roman" w:hAnsi="Times New Roman"/>
              </w:rPr>
              <w:t>kryteriów oceny</w:t>
            </w:r>
            <w:r w:rsidR="007159EC" w:rsidRPr="00BA1172">
              <w:rPr>
                <w:rFonts w:ascii="Times New Roman" w:hAnsi="Times New Roman"/>
              </w:rPr>
              <w:t xml:space="preserve"> jednostek naukowych i pracowników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F326D" w:rsidRPr="00BA1172" w:rsidTr="0082587B">
        <w:tc>
          <w:tcPr>
            <w:tcW w:w="5070" w:type="dxa"/>
          </w:tcPr>
          <w:p w:rsidR="00BF326D" w:rsidRPr="00F7476E" w:rsidRDefault="00BF326D" w:rsidP="00BF32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Mocne strony</w:t>
            </w:r>
          </w:p>
        </w:tc>
        <w:tc>
          <w:tcPr>
            <w:tcW w:w="4142" w:type="dxa"/>
          </w:tcPr>
          <w:p w:rsidR="00BF326D" w:rsidRPr="00BA1172" w:rsidRDefault="00F7476E" w:rsidP="00BF32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7476E">
              <w:rPr>
                <w:rFonts w:ascii="Times New Roman" w:hAnsi="Times New Roman"/>
                <w:b/>
                <w:sz w:val="24"/>
                <w:szCs w:val="24"/>
              </w:rPr>
              <w:t>Słabe strony</w:t>
            </w:r>
          </w:p>
        </w:tc>
      </w:tr>
      <w:tr w:rsidR="007159EC" w:rsidRPr="00BA1172" w:rsidTr="0082587B">
        <w:tc>
          <w:tcPr>
            <w:tcW w:w="5070" w:type="dxa"/>
          </w:tcPr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>ysoka pozycja naukowa i dydaktyczna Wydziału w środowisku akademickim, w szczególności krajowym w obszarze agrobiznesu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93182E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Dobra i</w:t>
            </w:r>
            <w:r w:rsidR="007159EC" w:rsidRPr="00BA1172">
              <w:rPr>
                <w:rFonts w:ascii="Times New Roman" w:hAnsi="Times New Roman"/>
              </w:rPr>
              <w:t>nfrastruktura materialna, skoncentrowana baza lokalowa oraz rozpoznawalna marka SGGW i WNE</w:t>
            </w:r>
            <w:r w:rsidR="00BF326D"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7159EC" w:rsidRPr="00BA1172">
              <w:rPr>
                <w:rFonts w:ascii="Times New Roman" w:hAnsi="Times New Roman"/>
              </w:rPr>
              <w:t>łoda i aktywna kadra naukowa i administracyjna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>drożone i doskonalone elementy Systemu Zapewnienia i Doskonalenia Jakości Kształcenia i badań naukowych</w:t>
            </w:r>
            <w:r w:rsidR="0093182E">
              <w:rPr>
                <w:rFonts w:ascii="Times New Roman" w:hAnsi="Times New Roman"/>
              </w:rPr>
              <w:t xml:space="preserve"> oraz </w:t>
            </w:r>
            <w:r w:rsidR="007159EC" w:rsidRPr="00BA1172">
              <w:rPr>
                <w:rFonts w:ascii="Times New Roman" w:hAnsi="Times New Roman"/>
              </w:rPr>
              <w:t>postepowań awansowych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159EC" w:rsidRPr="00BA1172">
              <w:rPr>
                <w:rFonts w:ascii="Times New Roman" w:hAnsi="Times New Roman"/>
              </w:rPr>
              <w:t>ogata oferta dydaktyczna kierunków i specjalności, w tym programów i przedmiotów w języku angielskim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7159EC" w:rsidRPr="00BA1172">
              <w:rPr>
                <w:rFonts w:ascii="Times New Roman" w:hAnsi="Times New Roman"/>
              </w:rPr>
              <w:t xml:space="preserve">oświadczenie zespołów badawczych w realizacji </w:t>
            </w:r>
            <w:r>
              <w:rPr>
                <w:rFonts w:ascii="Times New Roman" w:hAnsi="Times New Roman"/>
              </w:rPr>
              <w:t>m</w:t>
            </w:r>
            <w:r w:rsidR="007159EC" w:rsidRPr="00BA1172">
              <w:rPr>
                <w:rFonts w:ascii="Times New Roman" w:hAnsi="Times New Roman"/>
              </w:rPr>
              <w:t>iędzynarodowych projektów badawczych i dydaktycznych oraz konferencji i seminariów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</w:t>
            </w:r>
            <w:r w:rsidR="007159EC" w:rsidRPr="00BA1172">
              <w:rPr>
                <w:rFonts w:ascii="Times New Roman" w:hAnsi="Times New Roman"/>
              </w:rPr>
              <w:t xml:space="preserve">ełne prawa </w:t>
            </w:r>
            <w:r w:rsidR="00F7476E" w:rsidRPr="00BA1172">
              <w:rPr>
                <w:rFonts w:ascii="Times New Roman" w:hAnsi="Times New Roman"/>
              </w:rPr>
              <w:t>akademickie</w:t>
            </w:r>
            <w:r w:rsidR="00F7476E">
              <w:rPr>
                <w:rFonts w:ascii="Times New Roman" w:hAnsi="Times New Roman"/>
              </w:rPr>
              <w:t xml:space="preserve"> </w:t>
            </w:r>
            <w:r w:rsidR="00F7476E" w:rsidRPr="00BA1172"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 xml:space="preserve"> zakresie nauk ekonomicznych</w:t>
            </w:r>
            <w:r w:rsidR="0093182E">
              <w:rPr>
                <w:rFonts w:ascii="Times New Roman" w:hAnsi="Times New Roman"/>
              </w:rPr>
              <w:t>,</w:t>
            </w:r>
            <w:r w:rsidR="007159EC" w:rsidRPr="00BA1172">
              <w:rPr>
                <w:rFonts w:ascii="Times New Roman" w:hAnsi="Times New Roman"/>
              </w:rPr>
              <w:t xml:space="preserve"> dyscyplina ekonomia</w:t>
            </w:r>
            <w:r w:rsidR="00BB1D1D" w:rsidRPr="00BB1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42" w:type="dxa"/>
          </w:tcPr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="007159EC" w:rsidRPr="00BA1172">
              <w:rPr>
                <w:rFonts w:ascii="Times New Roman" w:hAnsi="Times New Roman"/>
              </w:rPr>
              <w:t>iedostosowana do wymogów oceny parametrycznej struktura publikacji pracowników naukowych wydziału i doktorantów (mało publikacji z IF)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7159EC" w:rsidRPr="00BA1172">
              <w:rPr>
                <w:rFonts w:ascii="Times New Roman" w:hAnsi="Times New Roman"/>
              </w:rPr>
              <w:t>mniejszający się wskaźnik sukcesu w pozyskiwaniu grantów badawczych i dydaktycznych</w:t>
            </w:r>
            <w:r>
              <w:rPr>
                <w:rFonts w:ascii="Times New Roman" w:hAnsi="Times New Roman"/>
              </w:rPr>
              <w:t>.</w:t>
            </w:r>
          </w:p>
          <w:p w:rsidR="007159EC" w:rsidRPr="00BA1172" w:rsidRDefault="00BF326D" w:rsidP="00BA117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7159EC" w:rsidRPr="00BA1172">
              <w:rPr>
                <w:rFonts w:ascii="Times New Roman" w:hAnsi="Times New Roman"/>
              </w:rPr>
              <w:t xml:space="preserve">ałe doświadczenie </w:t>
            </w:r>
            <w:r w:rsidR="00F7476E">
              <w:rPr>
                <w:rFonts w:ascii="Times New Roman" w:hAnsi="Times New Roman"/>
              </w:rPr>
              <w:t>części</w:t>
            </w:r>
            <w:r w:rsidR="00F7476E" w:rsidRPr="00BA1172">
              <w:rPr>
                <w:rFonts w:ascii="Times New Roman" w:hAnsi="Times New Roman"/>
              </w:rPr>
              <w:t xml:space="preserve"> grupy</w:t>
            </w:r>
            <w:r w:rsidR="007159EC" w:rsidRPr="00BA1172">
              <w:rPr>
                <w:rFonts w:ascii="Times New Roman" w:hAnsi="Times New Roman"/>
              </w:rPr>
              <w:t xml:space="preserve"> samodzielnych </w:t>
            </w:r>
            <w:r w:rsidR="00F7476E" w:rsidRPr="00BA1172">
              <w:rPr>
                <w:rFonts w:ascii="Times New Roman" w:hAnsi="Times New Roman"/>
              </w:rPr>
              <w:t>pracowników</w:t>
            </w:r>
            <w:r w:rsidR="00F7476E">
              <w:rPr>
                <w:rFonts w:ascii="Times New Roman" w:hAnsi="Times New Roman"/>
              </w:rPr>
              <w:t xml:space="preserve"> </w:t>
            </w:r>
            <w:r w:rsidR="00F7476E" w:rsidRPr="00BA1172">
              <w:rPr>
                <w:rFonts w:ascii="Times New Roman" w:hAnsi="Times New Roman"/>
              </w:rPr>
              <w:t>w</w:t>
            </w:r>
            <w:r w:rsidR="007159EC" w:rsidRPr="00BA1172">
              <w:rPr>
                <w:rFonts w:ascii="Times New Roman" w:hAnsi="Times New Roman"/>
              </w:rPr>
              <w:t xml:space="preserve"> zakresie kształcenia młodej </w:t>
            </w:r>
            <w:r w:rsidR="00F7476E" w:rsidRPr="00BA1172">
              <w:rPr>
                <w:rFonts w:ascii="Times New Roman" w:hAnsi="Times New Roman"/>
              </w:rPr>
              <w:t>kadry naukowej</w:t>
            </w:r>
            <w:r>
              <w:rPr>
                <w:rFonts w:ascii="Times New Roman" w:hAnsi="Times New Roman"/>
              </w:rPr>
              <w:t>.</w:t>
            </w:r>
          </w:p>
          <w:p w:rsidR="004330CA" w:rsidRDefault="00BF326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Z</w:t>
            </w:r>
            <w:r w:rsidR="007159EC" w:rsidRPr="00BA1172">
              <w:rPr>
                <w:rFonts w:ascii="Times New Roman" w:hAnsi="Times New Roman"/>
              </w:rPr>
              <w:t>byt małe zaangażowanie przedstawicieli pracodawców (praktyków) w kształtowaniu oferty programowej i realizacji procesu dydaktycznego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7159EC" w:rsidRDefault="007159EC" w:rsidP="00233C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59EC" w:rsidRDefault="007159EC" w:rsidP="00233C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59EC" w:rsidRDefault="007159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Cele strategiczne Wydziału Nauk Ekonomicznych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Tekstpodstawowywcity"/>
        <w:ind w:firstLine="426"/>
      </w:pPr>
      <w:r w:rsidRPr="00E6781A">
        <w:t xml:space="preserve">Misja </w:t>
      </w:r>
      <w:r>
        <w:t xml:space="preserve">i wizja Wydziału znajdują swój wyraz w strategicznych kierunkach rozwoju (czy celach strategicznych), które są zgodne z tematami strategicznymi Szkoły Głównej Gospodarstwa Wiejskiego w Warszawie. </w:t>
      </w:r>
      <w:r w:rsidR="00BB1D1D" w:rsidRPr="00BB1D1D">
        <w:rPr>
          <w:b/>
        </w:rPr>
        <w:t>Cele</w:t>
      </w:r>
      <w:r w:rsidR="00C00852">
        <w:rPr>
          <w:b/>
        </w:rPr>
        <w:t xml:space="preserve"> </w:t>
      </w:r>
      <w:r w:rsidRPr="00BC0499">
        <w:rPr>
          <w:b/>
        </w:rPr>
        <w:t>Strategiczne</w:t>
      </w:r>
      <w:r>
        <w:t xml:space="preserve"> Wydziału Nauk Ekonomicznych to:</w:t>
      </w:r>
    </w:p>
    <w:p w:rsidR="004330CA" w:rsidRDefault="007159EC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Zapewnienie studiującym </w:t>
      </w:r>
      <w:r w:rsidRPr="00CC42AB">
        <w:rPr>
          <w:rFonts w:ascii="Times New Roman" w:hAnsi="Times New Roman"/>
          <w:sz w:val="24"/>
          <w:szCs w:val="24"/>
        </w:rPr>
        <w:t>oferty edukacyjnej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programów kształcenia, które umożliwiają zdobycie wiedzy, umiejętności i kompetencji niezbędnych na krajowym i międzynarodowym rynku pracy (C1).</w:t>
      </w:r>
    </w:p>
    <w:p w:rsidR="004330CA" w:rsidRDefault="007159EC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C42AB">
        <w:rPr>
          <w:rFonts w:ascii="Times New Roman" w:hAnsi="Times New Roman"/>
          <w:sz w:val="24"/>
          <w:szCs w:val="24"/>
        </w:rPr>
        <w:t>zmocnienie pozycji naukowej Wydziału w krajowej i międzynarodowej przestrzeni badawczej</w:t>
      </w:r>
      <w:r>
        <w:rPr>
          <w:rFonts w:ascii="Times New Roman" w:hAnsi="Times New Roman"/>
          <w:sz w:val="24"/>
          <w:szCs w:val="24"/>
        </w:rPr>
        <w:t xml:space="preserve"> (C2).</w:t>
      </w:r>
    </w:p>
    <w:p w:rsidR="004330CA" w:rsidRDefault="007159EC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CC42AB">
        <w:rPr>
          <w:rFonts w:ascii="Times New Roman" w:hAnsi="Times New Roman"/>
          <w:sz w:val="24"/>
          <w:szCs w:val="24"/>
        </w:rPr>
        <w:t>oszerzenie współpracy z wiodącymi ośrodkami krajowymi i zagranicznymi w zakres</w:t>
      </w:r>
      <w:r>
        <w:rPr>
          <w:rFonts w:ascii="Times New Roman" w:hAnsi="Times New Roman"/>
          <w:sz w:val="24"/>
          <w:szCs w:val="24"/>
        </w:rPr>
        <w:t>ie kształcenia, badań naukowych (C3).</w:t>
      </w:r>
    </w:p>
    <w:p w:rsidR="004330CA" w:rsidRDefault="007159EC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CC42AB">
        <w:rPr>
          <w:rFonts w:ascii="Times New Roman" w:hAnsi="Times New Roman"/>
          <w:sz w:val="24"/>
          <w:szCs w:val="24"/>
        </w:rPr>
        <w:t xml:space="preserve">ozwój współpracy z otoczeniem gospodarczym w tym </w:t>
      </w:r>
      <w:r>
        <w:rPr>
          <w:rFonts w:ascii="Times New Roman" w:hAnsi="Times New Roman"/>
          <w:sz w:val="24"/>
          <w:szCs w:val="24"/>
        </w:rPr>
        <w:t xml:space="preserve">szersze </w:t>
      </w:r>
      <w:r w:rsidRPr="00CC42AB">
        <w:rPr>
          <w:rFonts w:ascii="Times New Roman" w:hAnsi="Times New Roman"/>
          <w:sz w:val="24"/>
          <w:szCs w:val="24"/>
        </w:rPr>
        <w:t xml:space="preserve">włączenie interesariuszy </w:t>
      </w:r>
      <w:r w:rsidR="00BB1D1D" w:rsidRPr="00BB1D1D">
        <w:rPr>
          <w:rFonts w:ascii="Times New Roman" w:hAnsi="Times New Roman"/>
          <w:sz w:val="24"/>
          <w:szCs w:val="24"/>
        </w:rPr>
        <w:t>w proces doskonalenia jakości kształcenia (C4)</w:t>
      </w:r>
      <w:r>
        <w:rPr>
          <w:rFonts w:ascii="Times New Roman" w:hAnsi="Times New Roman"/>
          <w:sz w:val="24"/>
          <w:szCs w:val="24"/>
        </w:rPr>
        <w:t>.</w:t>
      </w:r>
    </w:p>
    <w:p w:rsidR="004330CA" w:rsidRDefault="00BB1D1D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>Usprawnienie procesu administracyjnego i doskonalenie kultury organizacyjnej i utrzymanie stabilnej sytuacji finansowej(C5)</w:t>
      </w:r>
      <w:r w:rsidR="007159EC">
        <w:rPr>
          <w:rFonts w:ascii="Times New Roman" w:hAnsi="Times New Roman"/>
          <w:sz w:val="24"/>
          <w:szCs w:val="24"/>
        </w:rPr>
        <w:t>.</w:t>
      </w:r>
    </w:p>
    <w:p w:rsidR="004330CA" w:rsidRDefault="004330CA">
      <w:pPr>
        <w:pStyle w:val="Akapitzlis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0CA" w:rsidRDefault="004330CA">
      <w:pPr>
        <w:pStyle w:val="Akapitzlis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Działania strategiczne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0FB0">
        <w:rPr>
          <w:rFonts w:ascii="Times New Roman" w:hAnsi="Times New Roman"/>
          <w:b/>
          <w:sz w:val="24"/>
          <w:szCs w:val="24"/>
        </w:rPr>
        <w:t>Zapewnienie studiującym oferty edukacyjnej</w:t>
      </w:r>
      <w:r w:rsidR="00C00852">
        <w:rPr>
          <w:rFonts w:ascii="Times New Roman" w:hAnsi="Times New Roman"/>
          <w:b/>
          <w:sz w:val="24"/>
          <w:szCs w:val="24"/>
        </w:rPr>
        <w:t xml:space="preserve"> </w:t>
      </w:r>
      <w:r w:rsidRPr="00B80FB0">
        <w:rPr>
          <w:rFonts w:ascii="Times New Roman" w:hAnsi="Times New Roman"/>
          <w:b/>
          <w:sz w:val="24"/>
          <w:szCs w:val="24"/>
        </w:rPr>
        <w:t>i programów kształcenia, które umożliwia</w:t>
      </w:r>
      <w:r>
        <w:rPr>
          <w:rFonts w:ascii="Times New Roman" w:hAnsi="Times New Roman"/>
          <w:b/>
          <w:sz w:val="24"/>
          <w:szCs w:val="24"/>
        </w:rPr>
        <w:t>ją</w:t>
      </w:r>
      <w:r w:rsidRPr="00B80FB0">
        <w:rPr>
          <w:rFonts w:ascii="Times New Roman" w:hAnsi="Times New Roman"/>
          <w:b/>
          <w:sz w:val="24"/>
          <w:szCs w:val="24"/>
        </w:rPr>
        <w:t xml:space="preserve"> zdobycie wiedzy, umiejętności i kompetencji niezbędnych na </w:t>
      </w:r>
      <w:r w:rsidRPr="00A503BF">
        <w:rPr>
          <w:rFonts w:ascii="Times New Roman" w:hAnsi="Times New Roman"/>
          <w:b/>
          <w:sz w:val="24"/>
          <w:szCs w:val="24"/>
        </w:rPr>
        <w:t>krajowym i międzynarodowym rynku</w:t>
      </w:r>
      <w:r w:rsidRPr="00B80FB0">
        <w:rPr>
          <w:rFonts w:ascii="Times New Roman" w:hAnsi="Times New Roman"/>
          <w:b/>
          <w:sz w:val="24"/>
          <w:szCs w:val="24"/>
        </w:rPr>
        <w:t xml:space="preserve"> pracy</w:t>
      </w:r>
      <w:r>
        <w:rPr>
          <w:rFonts w:ascii="Times New Roman" w:hAnsi="Times New Roman"/>
          <w:b/>
          <w:sz w:val="24"/>
          <w:szCs w:val="24"/>
        </w:rPr>
        <w:t xml:space="preserve"> (C1)</w:t>
      </w:r>
    </w:p>
    <w:p w:rsidR="004330CA" w:rsidRDefault="004330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66C6F">
        <w:rPr>
          <w:rFonts w:ascii="Times New Roman" w:hAnsi="Times New Roman"/>
          <w:sz w:val="24"/>
          <w:szCs w:val="24"/>
        </w:rPr>
        <w:t xml:space="preserve">Rozwój Wydziału, uwzględniający zmiany warunków otocznia oraz istniejące zasoby i pozycję w SGGW musi uwzględniać trzy obszary: badania naukowe, dydaktykę i sprawy organizacyjne. W każdym z tych obszarów konieczne jest uwzględnienie perspektywy międzynarodowej i relacji z otoczeniem. 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Główne wyzwania </w:t>
      </w:r>
      <w:r>
        <w:rPr>
          <w:rFonts w:ascii="Times New Roman" w:hAnsi="Times New Roman"/>
          <w:sz w:val="24"/>
          <w:szCs w:val="24"/>
        </w:rPr>
        <w:t xml:space="preserve">stojące </w:t>
      </w:r>
      <w:r w:rsidRPr="00CC42AB">
        <w:rPr>
          <w:rFonts w:ascii="Times New Roman" w:hAnsi="Times New Roman"/>
          <w:sz w:val="24"/>
          <w:szCs w:val="24"/>
        </w:rPr>
        <w:t xml:space="preserve">przed Wydziałem Nauk Ekonomicznych odnoszą się do rozwoju </w:t>
      </w:r>
      <w:r>
        <w:rPr>
          <w:rFonts w:ascii="Times New Roman" w:hAnsi="Times New Roman"/>
          <w:sz w:val="24"/>
          <w:szCs w:val="24"/>
        </w:rPr>
        <w:t xml:space="preserve">działalności dydaktycznej. </w:t>
      </w:r>
      <w:r w:rsidRPr="00CC42AB">
        <w:rPr>
          <w:rFonts w:ascii="Times New Roman" w:hAnsi="Times New Roman"/>
          <w:sz w:val="24"/>
          <w:szCs w:val="24"/>
        </w:rPr>
        <w:t xml:space="preserve">Podstawową sferą aktywności Wydziału jest działalność dydaktyczna na studiach I i II stopnia, studiach doktoranckich (III stopień) oraz studiach podyplomowych. W tym obszarze podstawowym celem jest uatrakcyjnienie oferty dydaktycznej. </w:t>
      </w:r>
      <w:r>
        <w:rPr>
          <w:rFonts w:ascii="Times New Roman" w:hAnsi="Times New Roman"/>
          <w:sz w:val="24"/>
          <w:szCs w:val="24"/>
        </w:rPr>
        <w:t xml:space="preserve">Najważniejsze </w:t>
      </w:r>
      <w:r w:rsidRPr="00CC42AB">
        <w:rPr>
          <w:rFonts w:ascii="Times New Roman" w:hAnsi="Times New Roman"/>
          <w:sz w:val="24"/>
          <w:szCs w:val="24"/>
        </w:rPr>
        <w:t xml:space="preserve">są tu następujące </w:t>
      </w:r>
      <w:r w:rsidR="00BB1D1D" w:rsidRPr="00BB1D1D">
        <w:rPr>
          <w:rFonts w:ascii="Times New Roman" w:hAnsi="Times New Roman"/>
          <w:b/>
          <w:sz w:val="24"/>
          <w:szCs w:val="24"/>
        </w:rPr>
        <w:t>działania strategiczne</w:t>
      </w:r>
      <w:r w:rsidRPr="00CC42AB">
        <w:rPr>
          <w:rFonts w:ascii="Times New Roman" w:hAnsi="Times New Roman"/>
          <w:sz w:val="24"/>
          <w:szCs w:val="24"/>
        </w:rPr>
        <w:t>: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A1172">
        <w:rPr>
          <w:rFonts w:ascii="Times New Roman" w:hAnsi="Times New Roman"/>
          <w:sz w:val="24"/>
          <w:szCs w:val="24"/>
        </w:rPr>
        <w:t xml:space="preserve">Doskonalenie i rozwijanie programów studiów </w:t>
      </w:r>
      <w:r>
        <w:rPr>
          <w:rFonts w:ascii="Times New Roman" w:hAnsi="Times New Roman"/>
          <w:sz w:val="24"/>
          <w:szCs w:val="24"/>
        </w:rPr>
        <w:t xml:space="preserve">zgodnych z Krajowymi Ramami Kwalifikacji na prowadzonych kierunkach i specjalnościach oraz z efektami kształcenia </w:t>
      </w:r>
      <w:r w:rsidRPr="00BA1172">
        <w:rPr>
          <w:rFonts w:ascii="Times New Roman" w:hAnsi="Times New Roman"/>
          <w:sz w:val="24"/>
          <w:szCs w:val="24"/>
        </w:rPr>
        <w:t>oczekiwanych przez rynek pracy (D 1.1)</w:t>
      </w:r>
      <w:r>
        <w:rPr>
          <w:rFonts w:ascii="Times New Roman" w:hAnsi="Times New Roman"/>
          <w:sz w:val="24"/>
          <w:szCs w:val="24"/>
        </w:rPr>
        <w:t>.</w:t>
      </w:r>
    </w:p>
    <w:p w:rsidR="004330CA" w:rsidRDefault="007159EC">
      <w:pPr>
        <w:pStyle w:val="Akapitzlist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7176DB">
        <w:rPr>
          <w:rFonts w:ascii="Times New Roman" w:hAnsi="Times New Roman"/>
          <w:sz w:val="24"/>
          <w:szCs w:val="24"/>
        </w:rPr>
        <w:t>Rozwijanie Wydziałowego Systemu Zapewnienia Jakości Kształcenia, w tym systemu oceny prowadzonych zajęć oraz śledzenia losów i kariery zawodowej absolwentów, powiązania toku studiów z praktyką gospodarczą</w:t>
      </w:r>
      <w:r>
        <w:rPr>
          <w:rFonts w:ascii="Times New Roman" w:hAnsi="Times New Roman"/>
          <w:sz w:val="24"/>
          <w:szCs w:val="24"/>
        </w:rPr>
        <w:t>, budowanie lojalności absolwentów i studentów</w:t>
      </w:r>
      <w:r w:rsidRPr="007176DB">
        <w:rPr>
          <w:rFonts w:ascii="Times New Roman" w:hAnsi="Times New Roman"/>
          <w:sz w:val="24"/>
          <w:szCs w:val="24"/>
        </w:rPr>
        <w:t xml:space="preserve"> (D 1.</w:t>
      </w:r>
      <w:r>
        <w:rPr>
          <w:rFonts w:ascii="Times New Roman" w:hAnsi="Times New Roman"/>
          <w:sz w:val="24"/>
          <w:szCs w:val="24"/>
        </w:rPr>
        <w:t>2</w:t>
      </w:r>
      <w:r w:rsidRPr="007176DB">
        <w:rPr>
          <w:rFonts w:ascii="Times New Roman" w:hAnsi="Times New Roman"/>
          <w:sz w:val="24"/>
          <w:szCs w:val="24"/>
        </w:rPr>
        <w:t xml:space="preserve">). </w:t>
      </w:r>
    </w:p>
    <w:p w:rsidR="004330CA" w:rsidRDefault="007159EC">
      <w:pPr>
        <w:pStyle w:val="Akapitzlist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Tworzenie warunków do </w:t>
      </w:r>
      <w:r w:rsidRPr="00B64AC9">
        <w:rPr>
          <w:rFonts w:ascii="Times New Roman" w:hAnsi="Times New Roman"/>
          <w:sz w:val="24"/>
          <w:szCs w:val="24"/>
        </w:rPr>
        <w:t>rozwijania aktywności studenckiej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B64AC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ramach kół naukowych i samorządu studenckiego (D 1.3).</w:t>
      </w:r>
    </w:p>
    <w:p w:rsidR="004330CA" w:rsidRDefault="007159EC">
      <w:pPr>
        <w:pStyle w:val="Akapitzlist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Rozwój zaplecza dydaktycznego ze szczególnym uwzględnieniem infrastruktury informatycznej i zasobów bibliotecznych, dostępu do odpowiednich baz danych, oprogramowania dla wszystkich uczestników procesu kształcenia (studentów, doktorantów i pracowników) (D1.4).</w:t>
      </w:r>
    </w:p>
    <w:p w:rsidR="007159EC" w:rsidRDefault="007159EC" w:rsidP="007C3350">
      <w:pPr>
        <w:pStyle w:val="Akapitzlist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14396">
        <w:rPr>
          <w:rFonts w:ascii="Times New Roman" w:hAnsi="Times New Roman"/>
          <w:sz w:val="24"/>
          <w:szCs w:val="24"/>
        </w:rPr>
        <w:lastRenderedPageBreak/>
        <w:t>Utrzymanie</w:t>
      </w:r>
      <w:r>
        <w:rPr>
          <w:rFonts w:ascii="Times New Roman" w:hAnsi="Times New Roman"/>
          <w:sz w:val="24"/>
          <w:szCs w:val="24"/>
        </w:rPr>
        <w:t xml:space="preserve"> w kolejnych latach </w:t>
      </w:r>
      <w:r w:rsidRPr="00614396">
        <w:rPr>
          <w:rFonts w:ascii="Times New Roman" w:hAnsi="Times New Roman"/>
          <w:sz w:val="24"/>
          <w:szCs w:val="24"/>
        </w:rPr>
        <w:t xml:space="preserve">co najmniej dotychczasowej liczby studentów na studiach I, II i III stopnia oraz rozszerzenie oferty studiów podyplomowych dzięki zapewnieniu wysokiej jakości </w:t>
      </w:r>
      <w:r>
        <w:rPr>
          <w:rFonts w:ascii="Times New Roman" w:hAnsi="Times New Roman"/>
          <w:sz w:val="24"/>
          <w:szCs w:val="24"/>
        </w:rPr>
        <w:t xml:space="preserve">kształcenia </w:t>
      </w:r>
      <w:r w:rsidRPr="00614396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odpowiedniej promocji skierowanej do kandydatów z kraju i zagranicy( D 1.5).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BB1D1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1D1D">
        <w:rPr>
          <w:rFonts w:ascii="Times New Roman" w:hAnsi="Times New Roman"/>
          <w:b/>
          <w:sz w:val="24"/>
          <w:szCs w:val="24"/>
        </w:rPr>
        <w:t>Wzmocnienie pozycji naukowej Wydziału w krajowej i międzynarodowej przestrzeni badawczej (C2)</w:t>
      </w:r>
    </w:p>
    <w:p w:rsidR="004330CA" w:rsidRDefault="004330CA">
      <w:pPr>
        <w:spacing w:after="0"/>
      </w:pP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C42AB">
        <w:rPr>
          <w:rFonts w:ascii="Times New Roman" w:hAnsi="Times New Roman"/>
          <w:sz w:val="24"/>
          <w:szCs w:val="24"/>
        </w:rPr>
        <w:t xml:space="preserve">arunkiem nowoczesnej edukacji </w:t>
      </w:r>
      <w:r>
        <w:rPr>
          <w:rFonts w:ascii="Times New Roman" w:hAnsi="Times New Roman"/>
          <w:sz w:val="24"/>
          <w:szCs w:val="24"/>
        </w:rPr>
        <w:t>jest d</w:t>
      </w:r>
      <w:r w:rsidRPr="00CC42AB">
        <w:rPr>
          <w:rFonts w:ascii="Times New Roman" w:hAnsi="Times New Roman"/>
          <w:sz w:val="24"/>
          <w:szCs w:val="24"/>
        </w:rPr>
        <w:t>obra pozycja naukowa Wydziału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C42AB">
        <w:rPr>
          <w:rFonts w:ascii="Times New Roman" w:hAnsi="Times New Roman"/>
          <w:sz w:val="24"/>
          <w:szCs w:val="24"/>
        </w:rPr>
        <w:t xml:space="preserve">Na Wydziale Nauk Ekonomicznych SGGW w Warszawie prowadzone są badania naukowe i działalność dydaktyczna z zakresu ekonomii rolnictwa i gospodarki żywnościowej. Od </w:t>
      </w:r>
      <w:r w:rsidR="0093182E">
        <w:rPr>
          <w:rFonts w:ascii="Times New Roman" w:hAnsi="Times New Roman"/>
          <w:sz w:val="24"/>
          <w:szCs w:val="24"/>
        </w:rPr>
        <w:t>ponad sześćdziesięciu</w:t>
      </w:r>
      <w:r w:rsidRPr="00CC42AB">
        <w:rPr>
          <w:rFonts w:ascii="Times New Roman" w:hAnsi="Times New Roman"/>
          <w:sz w:val="24"/>
          <w:szCs w:val="24"/>
        </w:rPr>
        <w:t xml:space="preserve"> lat pracownicy naukowi Wydziału podejmują w badaniach zagadnienia wzrostu i rozwoju rolnictwa, całej gospodarki żywnościowej, analizują funkcjonowanie rynku rolnego oraz podstawowych segmentów rynku żywnościowego. Przedmiotem prac naukowych są również kwestie rynków i wymiany międzynarodowej produktami rolnymi i żywnościowymi. Ważnym obszarem dociekań są także kwestie rozwoju regionalnego, ze szczególnym uwzględnieniem obszarów wiejskich. W pracach badawczych prowadzonych na Wydziale podejmowane są również zagadnienia dotyczące teoretycznych podstaw i praktycznych uwarunkowań polityki gospodarczej w stosunku do rolnictwa, gospodarki żywnościowej i obszarów wiejskich, ze szczególnym uwzględnieniem Wspólnej Polityki Rolnej i polityki rozwoju obszarów wiejskich. Istotne miejsce w badaniach mają też prace dotyczące ekonomiki gospodarstw rolniczych. Dalszy kierunek rozwoju dydaktycznego i powiązanych z nim badań naukowych związany jest z zagadnieniami zarządzania i finansów. Zagadnienia odnoszą się zarówno do funkcjonowania rolnictwa i gospodarki żywnościowej, do szerokiej sfery otoczenia jak również funkcjonowania sektorów bankowego i ubezpieczeniowego. W zakresie finansów badane są zjawiska związane z działalnością człowieka, w której występuje przepływ pieniądza, a więc przede wszystkim zagadnienia dotyczące sfery finansowej gospodarki. Badania w zakresie finansów obejmują w szczególności analizę przyczyn i skutków przepływu pieniądza między podmiotami gospodarczymi. W naukach o zarządzaniu zajmujemy się powstawaniem, funkcjonowaniem, przekształcaniem, rozwojem oraz współdziałaniem organizacji gospodarczych, przede wszystkim przedsiębiorstw, lecz również instytucji sektora publicznego. </w:t>
      </w:r>
      <w:r>
        <w:rPr>
          <w:rFonts w:ascii="Times New Roman" w:hAnsi="Times New Roman"/>
          <w:sz w:val="24"/>
          <w:szCs w:val="24"/>
        </w:rPr>
        <w:t>Ważnymi obszarami aktywności naukowej zespołów badawczych na Wydziale są również zagadnienia logistyki oraz turystyki.</w:t>
      </w: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W obszarze nauki podstawowe działania strategiczne powinny być skoncentrowane na</w:t>
      </w:r>
      <w:r>
        <w:rPr>
          <w:rFonts w:ascii="Times New Roman" w:hAnsi="Times New Roman"/>
          <w:sz w:val="24"/>
          <w:szCs w:val="24"/>
        </w:rPr>
        <w:t xml:space="preserve"> następujących </w:t>
      </w:r>
      <w:r w:rsidR="00BB1D1D" w:rsidRPr="00BB1D1D">
        <w:rPr>
          <w:rFonts w:ascii="Times New Roman" w:hAnsi="Times New Roman"/>
          <w:b/>
          <w:sz w:val="24"/>
          <w:szCs w:val="24"/>
        </w:rPr>
        <w:t>działaniach strategicznych</w:t>
      </w:r>
      <w:r w:rsidRPr="00CC42AB">
        <w:rPr>
          <w:rFonts w:ascii="Times New Roman" w:hAnsi="Times New Roman"/>
          <w:sz w:val="24"/>
          <w:szCs w:val="24"/>
        </w:rPr>
        <w:t>: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BB1D1D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>Doskonalenie procesu badawczego i prezentacji jego efektów w postaci zwiększonej liczby</w:t>
      </w:r>
      <w:r w:rsidR="007159EC">
        <w:rPr>
          <w:rFonts w:ascii="Times New Roman" w:hAnsi="Times New Roman"/>
          <w:sz w:val="24"/>
          <w:szCs w:val="24"/>
        </w:rPr>
        <w:t xml:space="preserve"> publikacji w czasopismach o międzynarodowej i krajowej renomie i wysokim współczynniku oddziaływania(wzrost przeciętnej wartości punktowej monografii i artykułów naukowych branych pod uwagę w procesie parametryzacji jednostek naukowych)(D2.1).</w:t>
      </w:r>
    </w:p>
    <w:p w:rsidR="007159EC" w:rsidRPr="00CC42AB" w:rsidRDefault="007159EC" w:rsidP="005D146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 w:rsidRPr="00CC42AB">
        <w:rPr>
          <w:rFonts w:ascii="Times New Roman" w:hAnsi="Times New Roman"/>
          <w:sz w:val="24"/>
          <w:szCs w:val="24"/>
        </w:rPr>
        <w:t>tensyfikowani</w:t>
      </w:r>
      <w:r>
        <w:rPr>
          <w:rFonts w:ascii="Times New Roman" w:hAnsi="Times New Roman"/>
          <w:sz w:val="24"/>
          <w:szCs w:val="24"/>
        </w:rPr>
        <w:t>e</w:t>
      </w:r>
      <w:r w:rsidRPr="00CC42AB">
        <w:rPr>
          <w:rFonts w:ascii="Times New Roman" w:hAnsi="Times New Roman"/>
          <w:sz w:val="24"/>
          <w:szCs w:val="24"/>
        </w:rPr>
        <w:t xml:space="preserve"> działań w zakresie pozyskiwania dodatkowego fin</w:t>
      </w:r>
      <w:r>
        <w:rPr>
          <w:rFonts w:ascii="Times New Roman" w:hAnsi="Times New Roman"/>
          <w:sz w:val="24"/>
          <w:szCs w:val="24"/>
        </w:rPr>
        <w:t>ansowania działalności naukowej w formie grantów pozyskiwanych ze źródeł krajowych i zagranicznych, w tym tworzenia interdyscyplinarnych zespołów badawczych. (D 2.2)</w:t>
      </w:r>
    </w:p>
    <w:p w:rsidR="004330CA" w:rsidRDefault="007159EC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Rozwój własnej kadry naukowej poprzez uzyskiwanie w czasie określonym prawem stopni naukowych oraz zapewnianie możliwości do </w:t>
      </w:r>
      <w:r w:rsidRPr="006F121E">
        <w:rPr>
          <w:rFonts w:ascii="Times New Roman" w:hAnsi="Times New Roman"/>
          <w:sz w:val="24"/>
          <w:szCs w:val="24"/>
        </w:rPr>
        <w:t>rozwoju naukow</w:t>
      </w:r>
      <w:r>
        <w:rPr>
          <w:rFonts w:ascii="Times New Roman" w:hAnsi="Times New Roman"/>
          <w:sz w:val="24"/>
          <w:szCs w:val="24"/>
        </w:rPr>
        <w:t xml:space="preserve">ego </w:t>
      </w:r>
      <w:r w:rsidRPr="006F121E">
        <w:rPr>
          <w:rFonts w:ascii="Times New Roman" w:hAnsi="Times New Roman"/>
          <w:sz w:val="24"/>
          <w:szCs w:val="24"/>
        </w:rPr>
        <w:t>osób niebędących pracownikami Wydziału</w:t>
      </w:r>
      <w:r>
        <w:rPr>
          <w:rFonts w:ascii="Times New Roman" w:hAnsi="Times New Roman"/>
          <w:sz w:val="24"/>
          <w:szCs w:val="24"/>
        </w:rPr>
        <w:t xml:space="preserve"> (D 2.3)</w:t>
      </w:r>
      <w:r w:rsidRPr="00CC42AB">
        <w:rPr>
          <w:rFonts w:ascii="Times New Roman" w:hAnsi="Times New Roman"/>
          <w:sz w:val="24"/>
          <w:szCs w:val="24"/>
        </w:rPr>
        <w:t xml:space="preserve">. </w:t>
      </w:r>
    </w:p>
    <w:p w:rsidR="004330CA" w:rsidRDefault="007159E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706979">
        <w:rPr>
          <w:rFonts w:ascii="Times New Roman" w:hAnsi="Times New Roman"/>
          <w:sz w:val="24"/>
          <w:szCs w:val="24"/>
        </w:rPr>
        <w:t>najwyższej kategorii naukowej w ocenie parametrycznej</w:t>
      </w:r>
      <w:r>
        <w:rPr>
          <w:rFonts w:ascii="Times New Roman" w:hAnsi="Times New Roman"/>
          <w:sz w:val="24"/>
          <w:szCs w:val="24"/>
        </w:rPr>
        <w:t xml:space="preserve"> jednostek naukowych (D 2.5).</w:t>
      </w:r>
    </w:p>
    <w:p w:rsidR="004330CA" w:rsidRDefault="007159E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</w:t>
      </w:r>
      <w:r w:rsidRPr="00CC42AB">
        <w:rPr>
          <w:rFonts w:ascii="Times New Roman" w:hAnsi="Times New Roman"/>
          <w:sz w:val="24"/>
          <w:szCs w:val="24"/>
        </w:rPr>
        <w:t>zyskani</w:t>
      </w:r>
      <w:r>
        <w:rPr>
          <w:rFonts w:ascii="Times New Roman" w:hAnsi="Times New Roman"/>
          <w:sz w:val="24"/>
          <w:szCs w:val="24"/>
        </w:rPr>
        <w:t>e</w:t>
      </w:r>
      <w:r w:rsidRPr="00CC42AB">
        <w:rPr>
          <w:rFonts w:ascii="Times New Roman" w:hAnsi="Times New Roman"/>
          <w:sz w:val="24"/>
          <w:szCs w:val="24"/>
        </w:rPr>
        <w:t xml:space="preserve"> uprawnień do doktoryzowania w dziedzinie nauk </w:t>
      </w:r>
      <w:r>
        <w:rPr>
          <w:rFonts w:ascii="Times New Roman" w:hAnsi="Times New Roman"/>
          <w:sz w:val="24"/>
          <w:szCs w:val="24"/>
        </w:rPr>
        <w:t xml:space="preserve">ekonomicznych w dyscyplinach finanse oraz </w:t>
      </w:r>
      <w:r w:rsidRPr="00CC42AB">
        <w:rPr>
          <w:rFonts w:ascii="Times New Roman" w:hAnsi="Times New Roman"/>
          <w:sz w:val="24"/>
          <w:szCs w:val="24"/>
        </w:rPr>
        <w:t>nauki o zarządzaniu</w:t>
      </w:r>
      <w:r>
        <w:rPr>
          <w:rFonts w:ascii="Times New Roman" w:hAnsi="Times New Roman"/>
          <w:sz w:val="24"/>
          <w:szCs w:val="24"/>
        </w:rPr>
        <w:t xml:space="preserve"> (D</w:t>
      </w:r>
      <w:r w:rsidR="0093182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2.6)</w:t>
      </w:r>
      <w:r w:rsidRPr="00CC42AB">
        <w:rPr>
          <w:rFonts w:ascii="Times New Roman" w:hAnsi="Times New Roman"/>
          <w:sz w:val="24"/>
          <w:szCs w:val="24"/>
        </w:rPr>
        <w:t xml:space="preserve">. 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BB1D1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1D1D">
        <w:rPr>
          <w:rFonts w:ascii="Times New Roman" w:hAnsi="Times New Roman"/>
          <w:b/>
          <w:sz w:val="24"/>
          <w:szCs w:val="24"/>
        </w:rPr>
        <w:t>Poszerzenie współpracy z wiodącymi ośrodkami krajowymi i zagranicznymi w zakresie kształcenia</w:t>
      </w:r>
      <w:r w:rsidR="0093182E">
        <w:rPr>
          <w:rFonts w:ascii="Times New Roman" w:hAnsi="Times New Roman"/>
          <w:b/>
          <w:sz w:val="24"/>
          <w:szCs w:val="24"/>
        </w:rPr>
        <w:t xml:space="preserve"> i </w:t>
      </w:r>
      <w:r w:rsidRPr="00BB1D1D">
        <w:rPr>
          <w:rFonts w:ascii="Times New Roman" w:hAnsi="Times New Roman"/>
          <w:b/>
          <w:sz w:val="24"/>
          <w:szCs w:val="24"/>
        </w:rPr>
        <w:t>badań naukowych (C3)</w:t>
      </w:r>
    </w:p>
    <w:p w:rsidR="004330CA" w:rsidRDefault="00BB1D1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 xml:space="preserve">W obszarze </w:t>
      </w:r>
      <w:r w:rsidR="007159EC">
        <w:rPr>
          <w:rFonts w:ascii="Times New Roman" w:hAnsi="Times New Roman"/>
          <w:sz w:val="24"/>
          <w:szCs w:val="24"/>
        </w:rPr>
        <w:t xml:space="preserve">współpracy z ośrodkami krajowymi i zagranicznymi </w:t>
      </w:r>
      <w:r w:rsidRPr="00BB1D1D">
        <w:rPr>
          <w:rFonts w:ascii="Times New Roman" w:hAnsi="Times New Roman"/>
          <w:sz w:val="24"/>
          <w:szCs w:val="24"/>
        </w:rPr>
        <w:t xml:space="preserve">podstawowe działania strategiczne powinny być skoncentrowane na następujących </w:t>
      </w:r>
      <w:r w:rsidR="007159EC">
        <w:rPr>
          <w:rFonts w:ascii="Times New Roman" w:hAnsi="Times New Roman"/>
          <w:sz w:val="24"/>
          <w:szCs w:val="24"/>
        </w:rPr>
        <w:t>obszarach:</w:t>
      </w:r>
    </w:p>
    <w:p w:rsidR="004330CA" w:rsidRDefault="004330CA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176DB">
        <w:rPr>
          <w:rFonts w:ascii="Times New Roman" w:hAnsi="Times New Roman"/>
          <w:sz w:val="24"/>
          <w:szCs w:val="24"/>
        </w:rPr>
        <w:t>Zwiększenie zaangażowania pracowników w krajowych i międzynarodowych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7176DB">
        <w:rPr>
          <w:rFonts w:ascii="Times New Roman" w:hAnsi="Times New Roman"/>
          <w:sz w:val="24"/>
          <w:szCs w:val="24"/>
        </w:rPr>
        <w:t>towarzystwach i organizacjach naukowych, radach naukowych czasopism, zespołach eksperckich</w:t>
      </w:r>
      <w:r>
        <w:rPr>
          <w:rFonts w:ascii="Times New Roman" w:hAnsi="Times New Roman"/>
          <w:sz w:val="24"/>
          <w:szCs w:val="24"/>
        </w:rPr>
        <w:t>, sieciach współpracy</w:t>
      </w:r>
      <w:r w:rsidRPr="007176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(D</w:t>
      </w:r>
      <w:r w:rsidR="0093182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3.1</w:t>
      </w:r>
      <w:r w:rsidRPr="007176D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330CA" w:rsidRDefault="007159E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Intensyfikacja wymiany zagranicznej studentów </w:t>
      </w:r>
      <w:r>
        <w:rPr>
          <w:rFonts w:ascii="Times New Roman" w:hAnsi="Times New Roman"/>
          <w:sz w:val="24"/>
          <w:szCs w:val="24"/>
        </w:rPr>
        <w:t xml:space="preserve">oraz kadry naukowo-dydaktycznej </w:t>
      </w:r>
      <w:r w:rsidRPr="00CC42AB">
        <w:rPr>
          <w:rFonts w:ascii="Times New Roman" w:hAnsi="Times New Roman"/>
          <w:sz w:val="24"/>
          <w:szCs w:val="24"/>
        </w:rPr>
        <w:t xml:space="preserve">poprzez </w:t>
      </w:r>
      <w:r>
        <w:rPr>
          <w:rFonts w:ascii="Times New Roman" w:hAnsi="Times New Roman"/>
          <w:sz w:val="24"/>
          <w:szCs w:val="24"/>
        </w:rPr>
        <w:t>zawieranie</w:t>
      </w:r>
      <w:r w:rsidR="00C00852">
        <w:rPr>
          <w:rFonts w:ascii="Times New Roman" w:hAnsi="Times New Roman"/>
          <w:sz w:val="24"/>
          <w:szCs w:val="24"/>
        </w:rPr>
        <w:t xml:space="preserve"> </w:t>
      </w:r>
      <w:r w:rsidRPr="00CC42AB">
        <w:rPr>
          <w:rFonts w:ascii="Times New Roman" w:hAnsi="Times New Roman"/>
          <w:sz w:val="24"/>
          <w:szCs w:val="24"/>
        </w:rPr>
        <w:t xml:space="preserve">kolejnych umów </w:t>
      </w:r>
      <w:r>
        <w:rPr>
          <w:rFonts w:ascii="Times New Roman" w:hAnsi="Times New Roman"/>
          <w:sz w:val="24"/>
          <w:szCs w:val="24"/>
        </w:rPr>
        <w:t xml:space="preserve">m.in. </w:t>
      </w:r>
      <w:r w:rsidRPr="00CC42AB">
        <w:rPr>
          <w:rFonts w:ascii="Times New Roman" w:hAnsi="Times New Roman"/>
          <w:sz w:val="24"/>
          <w:szCs w:val="24"/>
        </w:rPr>
        <w:t>w ramach program</w:t>
      </w:r>
      <w:r>
        <w:rPr>
          <w:rFonts w:ascii="Times New Roman" w:hAnsi="Times New Roman"/>
          <w:sz w:val="24"/>
          <w:szCs w:val="24"/>
        </w:rPr>
        <w:t xml:space="preserve">ów </w:t>
      </w:r>
      <w:r w:rsidRPr="00CC42AB">
        <w:rPr>
          <w:rFonts w:ascii="Times New Roman" w:hAnsi="Times New Roman"/>
          <w:sz w:val="24"/>
          <w:szCs w:val="24"/>
        </w:rPr>
        <w:t>Erasmus i Ce</w:t>
      </w:r>
      <w:r>
        <w:rPr>
          <w:rFonts w:ascii="Times New Roman" w:hAnsi="Times New Roman"/>
          <w:sz w:val="24"/>
          <w:szCs w:val="24"/>
        </w:rPr>
        <w:t>e</w:t>
      </w:r>
      <w:r w:rsidRPr="00CC42AB">
        <w:rPr>
          <w:rFonts w:ascii="Times New Roman" w:hAnsi="Times New Roman"/>
          <w:sz w:val="24"/>
          <w:szCs w:val="24"/>
        </w:rPr>
        <w:t xml:space="preserve">pus oraz kreowanie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CC42AB">
        <w:rPr>
          <w:rFonts w:ascii="Times New Roman" w:hAnsi="Times New Roman"/>
          <w:sz w:val="24"/>
          <w:szCs w:val="24"/>
        </w:rPr>
        <w:t>rozwijanie ofert edukacyjnych w języku angielskim na studiach I i II stopnia.</w:t>
      </w:r>
      <w:r>
        <w:rPr>
          <w:rFonts w:ascii="Times New Roman" w:hAnsi="Times New Roman"/>
          <w:sz w:val="24"/>
          <w:szCs w:val="24"/>
        </w:rPr>
        <w:t xml:space="preserve"> (D</w:t>
      </w:r>
      <w:r w:rsidR="0093182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3.2).</w:t>
      </w:r>
    </w:p>
    <w:p w:rsidR="004330CA" w:rsidRDefault="007159E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83E10">
        <w:rPr>
          <w:rFonts w:ascii="Times New Roman" w:hAnsi="Times New Roman"/>
          <w:sz w:val="24"/>
          <w:szCs w:val="24"/>
        </w:rPr>
        <w:t>Zintensyfikowanie międzynarodowych kontaktów naukowych i dydaktycznych pracowników i studentów studiów doktoranckich (</w:t>
      </w:r>
      <w:r>
        <w:rPr>
          <w:rFonts w:ascii="Times New Roman" w:hAnsi="Times New Roman"/>
          <w:sz w:val="24"/>
          <w:szCs w:val="24"/>
        </w:rPr>
        <w:t>D</w:t>
      </w:r>
      <w:r w:rsidR="0093182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3.3).</w:t>
      </w:r>
    </w:p>
    <w:p w:rsidR="004330CA" w:rsidRDefault="004330CA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146D">
        <w:rPr>
          <w:rFonts w:ascii="Times New Roman" w:hAnsi="Times New Roman"/>
          <w:b/>
          <w:sz w:val="24"/>
          <w:szCs w:val="24"/>
        </w:rPr>
        <w:t>Rozwój współpracy z otoczeniem gospodarczym w tym włączenie interesariuszy w proces doskonalenia jakości kształcenia (C4)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BB1D1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 xml:space="preserve">W obszarze </w:t>
      </w:r>
      <w:r w:rsidR="007159EC">
        <w:rPr>
          <w:rFonts w:ascii="Times New Roman" w:hAnsi="Times New Roman"/>
          <w:sz w:val="24"/>
          <w:szCs w:val="24"/>
        </w:rPr>
        <w:t xml:space="preserve">współpracy z otoczeniem gospodarczym </w:t>
      </w:r>
      <w:r w:rsidRPr="00BB1D1D">
        <w:rPr>
          <w:rFonts w:ascii="Times New Roman" w:hAnsi="Times New Roman"/>
          <w:sz w:val="24"/>
          <w:szCs w:val="24"/>
        </w:rPr>
        <w:t xml:space="preserve">działania strategiczne powinny być skoncentrowane na następujących </w:t>
      </w:r>
      <w:r w:rsidR="007159EC">
        <w:rPr>
          <w:rFonts w:ascii="Times New Roman" w:hAnsi="Times New Roman"/>
          <w:sz w:val="24"/>
          <w:szCs w:val="24"/>
        </w:rPr>
        <w:t>zagadnieniach</w:t>
      </w:r>
      <w:r w:rsidRPr="00BB1D1D">
        <w:rPr>
          <w:rFonts w:ascii="Times New Roman" w:hAnsi="Times New Roman"/>
          <w:sz w:val="24"/>
          <w:szCs w:val="24"/>
        </w:rPr>
        <w:t>:</w:t>
      </w: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 xml:space="preserve">Podejmowanie dalszej współpracy z </w:t>
      </w:r>
      <w:r>
        <w:rPr>
          <w:rFonts w:ascii="Times New Roman" w:hAnsi="Times New Roman"/>
          <w:sz w:val="24"/>
          <w:szCs w:val="24"/>
        </w:rPr>
        <w:t xml:space="preserve">podmiotami gospodarczymi i administracyjnymi w celu organizacji </w:t>
      </w:r>
      <w:r w:rsidRPr="00CC42AB">
        <w:rPr>
          <w:rFonts w:ascii="Times New Roman" w:hAnsi="Times New Roman"/>
          <w:sz w:val="24"/>
          <w:szCs w:val="24"/>
        </w:rPr>
        <w:t xml:space="preserve">staży i praktyk dostosowanych do specyfiki kierunku </w:t>
      </w:r>
      <w:r>
        <w:rPr>
          <w:rFonts w:ascii="Times New Roman" w:hAnsi="Times New Roman"/>
          <w:sz w:val="24"/>
          <w:szCs w:val="24"/>
        </w:rPr>
        <w:t xml:space="preserve">studiów </w:t>
      </w:r>
      <w:r w:rsidRPr="00CC42AB">
        <w:rPr>
          <w:rFonts w:ascii="Times New Roman" w:hAnsi="Times New Roman"/>
          <w:sz w:val="24"/>
          <w:szCs w:val="24"/>
        </w:rPr>
        <w:t>oraz ściślejsze powiązani</w:t>
      </w:r>
      <w:r>
        <w:rPr>
          <w:rFonts w:ascii="Times New Roman" w:hAnsi="Times New Roman"/>
          <w:sz w:val="24"/>
          <w:szCs w:val="24"/>
        </w:rPr>
        <w:t>e tych</w:t>
      </w:r>
      <w:r w:rsidRPr="00CC42AB">
        <w:rPr>
          <w:rFonts w:ascii="Times New Roman" w:hAnsi="Times New Roman"/>
          <w:sz w:val="24"/>
          <w:szCs w:val="24"/>
        </w:rPr>
        <w:t xml:space="preserve"> praktyk z procesem dydaktycznym i pracami dyplomowymi.</w:t>
      </w:r>
      <w:r>
        <w:rPr>
          <w:rFonts w:ascii="Times New Roman" w:hAnsi="Times New Roman"/>
          <w:sz w:val="24"/>
          <w:szCs w:val="24"/>
        </w:rPr>
        <w:t xml:space="preserve"> (</w:t>
      </w:r>
      <w:r w:rsidR="0093182E">
        <w:rPr>
          <w:rFonts w:ascii="Times New Roman" w:hAnsi="Times New Roman"/>
          <w:sz w:val="24"/>
          <w:szCs w:val="24"/>
        </w:rPr>
        <w:t>D </w:t>
      </w:r>
      <w:r>
        <w:rPr>
          <w:rFonts w:ascii="Times New Roman" w:hAnsi="Times New Roman"/>
          <w:sz w:val="24"/>
          <w:szCs w:val="24"/>
        </w:rPr>
        <w:t>4.1)</w:t>
      </w:r>
    </w:p>
    <w:p w:rsidR="004330CA" w:rsidRDefault="007159E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Aktywne włączenie przedstawicieli praktyki gospodarczej, instytucji administracyjnych i absolwentów w prace nad organizacją i rozwojem programów kształcenia na Wydziale Nauk Ekonomicznych.</w:t>
      </w:r>
      <w:r>
        <w:rPr>
          <w:rFonts w:ascii="Times New Roman" w:hAnsi="Times New Roman"/>
          <w:sz w:val="24"/>
          <w:szCs w:val="24"/>
        </w:rPr>
        <w:t xml:space="preserve"> (</w:t>
      </w:r>
      <w:r w:rsidR="0093182E">
        <w:rPr>
          <w:rFonts w:ascii="Times New Roman" w:hAnsi="Times New Roman"/>
          <w:sz w:val="24"/>
          <w:szCs w:val="24"/>
        </w:rPr>
        <w:t>D </w:t>
      </w:r>
      <w:r>
        <w:rPr>
          <w:rFonts w:ascii="Times New Roman" w:hAnsi="Times New Roman"/>
          <w:sz w:val="24"/>
          <w:szCs w:val="24"/>
        </w:rPr>
        <w:t>4.2)</w:t>
      </w:r>
    </w:p>
    <w:p w:rsidR="004330CA" w:rsidRDefault="004330C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146D">
        <w:rPr>
          <w:rFonts w:ascii="Times New Roman" w:hAnsi="Times New Roman"/>
          <w:b/>
          <w:sz w:val="24"/>
          <w:szCs w:val="24"/>
        </w:rPr>
        <w:t>Usprawnienie procesu administracyjnego</w:t>
      </w:r>
      <w:r w:rsidR="0093182E">
        <w:rPr>
          <w:rFonts w:ascii="Times New Roman" w:hAnsi="Times New Roman"/>
          <w:b/>
          <w:sz w:val="24"/>
          <w:szCs w:val="24"/>
        </w:rPr>
        <w:t xml:space="preserve">, </w:t>
      </w:r>
      <w:r w:rsidRPr="005D146D">
        <w:rPr>
          <w:rFonts w:ascii="Times New Roman" w:hAnsi="Times New Roman"/>
          <w:b/>
          <w:sz w:val="24"/>
          <w:szCs w:val="24"/>
        </w:rPr>
        <w:t xml:space="preserve">doskonalenie kultury organizacyjnej </w:t>
      </w:r>
      <w:r>
        <w:rPr>
          <w:rFonts w:ascii="Times New Roman" w:hAnsi="Times New Roman"/>
          <w:b/>
          <w:sz w:val="24"/>
          <w:szCs w:val="24"/>
        </w:rPr>
        <w:t>i</w:t>
      </w:r>
      <w:r w:rsidR="00A503BF">
        <w:rPr>
          <w:rFonts w:ascii="Times New Roman" w:hAnsi="Times New Roman"/>
          <w:b/>
          <w:sz w:val="24"/>
          <w:szCs w:val="24"/>
        </w:rPr>
        <w:t xml:space="preserve"> utrzymanie </w:t>
      </w:r>
      <w:r>
        <w:rPr>
          <w:rFonts w:ascii="Times New Roman" w:hAnsi="Times New Roman"/>
          <w:b/>
          <w:sz w:val="24"/>
          <w:szCs w:val="24"/>
        </w:rPr>
        <w:t>stabilnej sytuacji finansowej</w:t>
      </w:r>
      <w:r w:rsidRPr="005D146D">
        <w:rPr>
          <w:rFonts w:ascii="Times New Roman" w:hAnsi="Times New Roman"/>
          <w:b/>
          <w:sz w:val="24"/>
          <w:szCs w:val="24"/>
        </w:rPr>
        <w:t>(C5)</w:t>
      </w:r>
    </w:p>
    <w:p w:rsidR="004330CA" w:rsidRDefault="004330C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330CA" w:rsidRDefault="007159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C42AB">
        <w:rPr>
          <w:rFonts w:ascii="Times New Roman" w:hAnsi="Times New Roman"/>
          <w:sz w:val="24"/>
          <w:szCs w:val="24"/>
        </w:rPr>
        <w:t>W zakresie spraw organizacyjnych głównym wyzwaniem jest:</w:t>
      </w:r>
    </w:p>
    <w:p w:rsidR="004330CA" w:rsidRDefault="007159EC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1172">
        <w:rPr>
          <w:rFonts w:ascii="Times New Roman" w:hAnsi="Times New Roman"/>
          <w:sz w:val="24"/>
          <w:szCs w:val="24"/>
        </w:rPr>
        <w:t xml:space="preserve">Doskonalenie </w:t>
      </w:r>
      <w:r>
        <w:rPr>
          <w:rFonts w:ascii="Times New Roman" w:hAnsi="Times New Roman"/>
          <w:sz w:val="24"/>
          <w:szCs w:val="24"/>
        </w:rPr>
        <w:t xml:space="preserve">procesów </w:t>
      </w:r>
      <w:r w:rsidRPr="00BA1172">
        <w:rPr>
          <w:rFonts w:ascii="Times New Roman" w:hAnsi="Times New Roman"/>
          <w:sz w:val="24"/>
          <w:szCs w:val="24"/>
        </w:rPr>
        <w:t xml:space="preserve">obsługi administracyjnej, technicznej oraz informatycznej zarówno </w:t>
      </w:r>
      <w:r>
        <w:rPr>
          <w:rFonts w:ascii="Times New Roman" w:hAnsi="Times New Roman"/>
          <w:sz w:val="24"/>
          <w:szCs w:val="24"/>
        </w:rPr>
        <w:t xml:space="preserve">w odniesieniu do </w:t>
      </w:r>
      <w:r w:rsidRPr="00BA1172">
        <w:rPr>
          <w:rFonts w:ascii="Times New Roman" w:hAnsi="Times New Roman"/>
          <w:sz w:val="24"/>
          <w:szCs w:val="24"/>
        </w:rPr>
        <w:t>procesu dydaktycznego jak i badań naukowych i projektów badawczych. (D</w:t>
      </w:r>
      <w:r w:rsidR="0093182E">
        <w:rPr>
          <w:rFonts w:ascii="Times New Roman" w:hAnsi="Times New Roman"/>
          <w:sz w:val="24"/>
          <w:szCs w:val="24"/>
        </w:rPr>
        <w:t> </w:t>
      </w:r>
      <w:r w:rsidRPr="00BA1172">
        <w:rPr>
          <w:rFonts w:ascii="Times New Roman" w:hAnsi="Times New Roman"/>
          <w:sz w:val="24"/>
          <w:szCs w:val="24"/>
        </w:rPr>
        <w:t xml:space="preserve">5.1) </w:t>
      </w:r>
    </w:p>
    <w:p w:rsidR="004330CA" w:rsidRDefault="007159E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1172">
        <w:rPr>
          <w:rFonts w:ascii="Times New Roman" w:hAnsi="Times New Roman"/>
          <w:sz w:val="24"/>
          <w:szCs w:val="24"/>
        </w:rPr>
        <w:t>Rozbudowa systemu komunikacji</w:t>
      </w:r>
      <w:r>
        <w:rPr>
          <w:rFonts w:ascii="Times New Roman" w:hAnsi="Times New Roman"/>
          <w:sz w:val="24"/>
          <w:szCs w:val="24"/>
        </w:rPr>
        <w:t xml:space="preserve"> wewnętrznej i zewnętrznej</w:t>
      </w:r>
      <w:r w:rsidRPr="00BA1172">
        <w:rPr>
          <w:rFonts w:ascii="Times New Roman" w:hAnsi="Times New Roman"/>
          <w:sz w:val="24"/>
          <w:szCs w:val="24"/>
        </w:rPr>
        <w:t xml:space="preserve">, w tym wydziałowej strony internetowej w języku polskim i angielskim zawierającej kluczowe informacje dotyczące </w:t>
      </w:r>
      <w:r>
        <w:rPr>
          <w:rFonts w:ascii="Times New Roman" w:hAnsi="Times New Roman"/>
          <w:sz w:val="24"/>
          <w:szCs w:val="24"/>
        </w:rPr>
        <w:t xml:space="preserve">prowadzonych </w:t>
      </w:r>
      <w:r w:rsidRPr="00BA1172">
        <w:rPr>
          <w:rFonts w:ascii="Times New Roman" w:hAnsi="Times New Roman"/>
          <w:sz w:val="24"/>
          <w:szCs w:val="24"/>
        </w:rPr>
        <w:t xml:space="preserve">badań, działalności </w:t>
      </w:r>
      <w:r>
        <w:rPr>
          <w:rFonts w:ascii="Times New Roman" w:hAnsi="Times New Roman"/>
          <w:sz w:val="24"/>
          <w:szCs w:val="24"/>
        </w:rPr>
        <w:t xml:space="preserve">organizacyjnej, </w:t>
      </w:r>
      <w:r w:rsidRPr="00BA1172">
        <w:rPr>
          <w:rFonts w:ascii="Times New Roman" w:hAnsi="Times New Roman"/>
          <w:sz w:val="24"/>
          <w:szCs w:val="24"/>
        </w:rPr>
        <w:t xml:space="preserve">dydaktycznej i </w:t>
      </w:r>
      <w:r>
        <w:rPr>
          <w:rFonts w:ascii="Times New Roman" w:hAnsi="Times New Roman"/>
          <w:sz w:val="24"/>
          <w:szCs w:val="24"/>
        </w:rPr>
        <w:t xml:space="preserve">stron </w:t>
      </w:r>
      <w:r w:rsidRPr="00BA1172">
        <w:rPr>
          <w:rFonts w:ascii="Times New Roman" w:hAnsi="Times New Roman"/>
          <w:sz w:val="24"/>
          <w:szCs w:val="24"/>
        </w:rPr>
        <w:t xml:space="preserve">pracowników, </w:t>
      </w:r>
      <w:r>
        <w:rPr>
          <w:rFonts w:ascii="Times New Roman" w:hAnsi="Times New Roman"/>
          <w:sz w:val="24"/>
          <w:szCs w:val="24"/>
        </w:rPr>
        <w:t xml:space="preserve">a także </w:t>
      </w:r>
      <w:r w:rsidRPr="00BA1172">
        <w:rPr>
          <w:rFonts w:ascii="Times New Roman" w:hAnsi="Times New Roman"/>
          <w:sz w:val="24"/>
          <w:szCs w:val="24"/>
        </w:rPr>
        <w:t>upublicznienie opracowań, które nie były gdzie indziej publikowane. (D 5.2)</w:t>
      </w:r>
    </w:p>
    <w:p w:rsidR="004330CA" w:rsidRDefault="00BB1D1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>Kształtowanie i wspomaganie postaw ambasadorów działalności edukacyjnej i naukowej Wydziału wśród pracowników i studentów</w:t>
      </w:r>
      <w:r w:rsidR="007159EC">
        <w:rPr>
          <w:rFonts w:ascii="Times New Roman" w:hAnsi="Times New Roman"/>
          <w:sz w:val="24"/>
          <w:szCs w:val="24"/>
        </w:rPr>
        <w:t xml:space="preserve"> (D</w:t>
      </w:r>
      <w:r w:rsidR="0093182E">
        <w:rPr>
          <w:rFonts w:ascii="Times New Roman" w:hAnsi="Times New Roman"/>
          <w:sz w:val="24"/>
          <w:szCs w:val="24"/>
        </w:rPr>
        <w:t> </w:t>
      </w:r>
      <w:r w:rsidR="007159EC">
        <w:rPr>
          <w:rFonts w:ascii="Times New Roman" w:hAnsi="Times New Roman"/>
          <w:sz w:val="24"/>
          <w:szCs w:val="24"/>
        </w:rPr>
        <w:t>5.3)</w:t>
      </w:r>
      <w:r w:rsidRPr="00BB1D1D">
        <w:rPr>
          <w:rFonts w:ascii="Times New Roman" w:hAnsi="Times New Roman"/>
          <w:sz w:val="24"/>
          <w:szCs w:val="24"/>
        </w:rPr>
        <w:t>.</w:t>
      </w:r>
    </w:p>
    <w:p w:rsidR="004330CA" w:rsidRDefault="007159E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długofalowych potrzeb ekonomicznych wydziału (D</w:t>
      </w:r>
      <w:r w:rsidR="0093182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5.4)</w:t>
      </w:r>
    </w:p>
    <w:p w:rsidR="007159EC" w:rsidRDefault="007159EC">
      <w:pPr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BB1D1D" w:rsidRPr="00BB1D1D">
        <w:rPr>
          <w:rFonts w:ascii="Times New Roman" w:hAnsi="Times New Roman"/>
          <w:b/>
          <w:sz w:val="24"/>
          <w:szCs w:val="24"/>
        </w:rPr>
        <w:lastRenderedPageBreak/>
        <w:t>Monitoring realizacji strategii</w:t>
      </w:r>
    </w:p>
    <w:p w:rsidR="004330CA" w:rsidRDefault="004330CA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330CA" w:rsidRDefault="00BB1D1D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BB1D1D">
        <w:rPr>
          <w:rFonts w:ascii="Times New Roman" w:hAnsi="Times New Roman"/>
          <w:sz w:val="24"/>
          <w:szCs w:val="24"/>
        </w:rPr>
        <w:t>Cele strategiczne będą monitorowane przy wykorzystaniu przedstawionych mie</w:t>
      </w:r>
      <w:r w:rsidR="00E564C3">
        <w:rPr>
          <w:rFonts w:ascii="Times New Roman" w:hAnsi="Times New Roman"/>
          <w:sz w:val="24"/>
          <w:szCs w:val="24"/>
        </w:rPr>
        <w:t>rników co najmniej raz do roku.</w:t>
      </w:r>
    </w:p>
    <w:p w:rsidR="004330CA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0FB0">
        <w:rPr>
          <w:rFonts w:ascii="Times New Roman" w:hAnsi="Times New Roman"/>
          <w:b/>
          <w:sz w:val="24"/>
          <w:szCs w:val="24"/>
        </w:rPr>
        <w:t>Zapewnienie studiującym oferty edukacyjnej i programów kształcenia, które umożliwia</w:t>
      </w:r>
      <w:r>
        <w:rPr>
          <w:rFonts w:ascii="Times New Roman" w:hAnsi="Times New Roman"/>
          <w:b/>
          <w:sz w:val="24"/>
          <w:szCs w:val="24"/>
        </w:rPr>
        <w:t>ją</w:t>
      </w:r>
      <w:r w:rsidRPr="00B80FB0">
        <w:rPr>
          <w:rFonts w:ascii="Times New Roman" w:hAnsi="Times New Roman"/>
          <w:b/>
          <w:sz w:val="24"/>
          <w:szCs w:val="24"/>
        </w:rPr>
        <w:t xml:space="preserve"> zdobycie wiedzy, umiejętności i kompetencji niezbędnych na krajowym i międzynarodowym rynku pracy</w:t>
      </w:r>
      <w:r>
        <w:rPr>
          <w:rFonts w:ascii="Times New Roman" w:hAnsi="Times New Roman"/>
          <w:b/>
          <w:sz w:val="24"/>
          <w:szCs w:val="24"/>
        </w:rPr>
        <w:t xml:space="preserve"> (C1)</w:t>
      </w:r>
    </w:p>
    <w:tbl>
      <w:tblPr>
        <w:tblW w:w="93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8"/>
        <w:gridCol w:w="4111"/>
        <w:gridCol w:w="4578"/>
      </w:tblGrid>
      <w:tr w:rsidR="007159EC" w:rsidRPr="00BA1172" w:rsidTr="001C7F79">
        <w:tc>
          <w:tcPr>
            <w:tcW w:w="698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Działania strategiczn</w:t>
            </w:r>
            <w:r w:rsidR="0093182E">
              <w:rPr>
                <w:rFonts w:ascii="Times New Roman" w:hAnsi="Times New Roman"/>
                <w:b/>
                <w:sz w:val="24"/>
                <w:szCs w:val="24"/>
              </w:rPr>
              <w:t>e (D)</w:t>
            </w:r>
          </w:p>
        </w:tc>
        <w:tc>
          <w:tcPr>
            <w:tcW w:w="4578" w:type="dxa"/>
            <w:tcBorders>
              <w:bottom w:val="single" w:sz="2" w:space="0" w:color="auto"/>
            </w:tcBorders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Miernik</w:t>
            </w:r>
          </w:p>
        </w:tc>
      </w:tr>
      <w:tr w:rsidR="001C7F79" w:rsidRPr="00BA1172" w:rsidTr="001C7F79">
        <w:trPr>
          <w:trHeight w:val="747"/>
        </w:trPr>
        <w:tc>
          <w:tcPr>
            <w:tcW w:w="698" w:type="dxa"/>
            <w:vMerge w:val="restart"/>
          </w:tcPr>
          <w:p w:rsidR="001C7F79" w:rsidRPr="00BA1172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1C7F79" w:rsidRPr="00BA1172" w:rsidRDefault="001C7F7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 xml:space="preserve">Doskonalenie i rozwijanie programów studiów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zgodnych z Krajowymi Ramami Kwalifikacji na prowadzonych kierunkach i specjalnościach oraz z efektami kształcenia </w:t>
            </w:r>
            <w:r w:rsidRPr="00BA1172">
              <w:rPr>
                <w:rFonts w:ascii="Times New Roman" w:hAnsi="Times New Roman"/>
                <w:sz w:val="24"/>
                <w:szCs w:val="24"/>
              </w:rPr>
              <w:t>oczekiwanych przez rynek pracy (D 1.1)</w:t>
            </w:r>
          </w:p>
        </w:tc>
        <w:tc>
          <w:tcPr>
            <w:tcW w:w="4578" w:type="dxa"/>
            <w:tcBorders>
              <w:bottom w:val="nil"/>
            </w:tcBorders>
          </w:tcPr>
          <w:p w:rsidR="001C7F79" w:rsidRPr="00E564C3" w:rsidRDefault="001C7F79" w:rsidP="001C7F79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E564C3">
              <w:rPr>
                <w:rFonts w:ascii="Times New Roman" w:hAnsi="Times New Roman"/>
                <w:sz w:val="24"/>
                <w:szCs w:val="24"/>
              </w:rPr>
              <w:t>D</w:t>
            </w:r>
            <w:r w:rsidRPr="00E564C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E564C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E564C3">
              <w:rPr>
                <w:rFonts w:ascii="Times New Roman" w:hAnsi="Times New Roman"/>
                <w:sz w:val="24"/>
                <w:szCs w:val="24"/>
              </w:rPr>
              <w:t>M1 Miernik zmian programów kształcenia</w:t>
            </w:r>
          </w:p>
        </w:tc>
      </w:tr>
      <w:tr w:rsidR="001C7F79" w:rsidRPr="00BA1172" w:rsidTr="00A8041A">
        <w:trPr>
          <w:trHeight w:val="747"/>
        </w:trPr>
        <w:tc>
          <w:tcPr>
            <w:tcW w:w="698" w:type="dxa"/>
            <w:vMerge/>
          </w:tcPr>
          <w:p w:rsidR="001C7F79" w:rsidRPr="00BA1172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C7F79" w:rsidRPr="00BA1172" w:rsidRDefault="001C7F7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single" w:sz="2" w:space="0" w:color="auto"/>
            </w:tcBorders>
          </w:tcPr>
          <w:p w:rsidR="001C7F79" w:rsidRPr="00E564C3" w:rsidRDefault="001C7F79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E564C3">
              <w:rPr>
                <w:rFonts w:ascii="Times New Roman" w:hAnsi="Times New Roman"/>
                <w:sz w:val="24"/>
                <w:szCs w:val="24"/>
              </w:rPr>
              <w:t>D</w:t>
            </w:r>
            <w:r w:rsidRPr="00E564C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E564C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E564C3">
              <w:rPr>
                <w:rFonts w:ascii="Times New Roman" w:hAnsi="Times New Roman"/>
                <w:sz w:val="24"/>
                <w:szCs w:val="24"/>
              </w:rPr>
              <w:t>M2 Miernik dostępności kadry</w:t>
            </w:r>
          </w:p>
        </w:tc>
      </w:tr>
      <w:tr w:rsidR="00A8041A" w:rsidRPr="00D82C93" w:rsidTr="00A8041A">
        <w:trPr>
          <w:trHeight w:val="451"/>
        </w:trPr>
        <w:tc>
          <w:tcPr>
            <w:tcW w:w="698" w:type="dxa"/>
            <w:vMerge w:val="restart"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 w:val="restart"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 xml:space="preserve">Rozwijanie Wydziałowego Systemu Zapewnienia Jakości Kształcenia, w tym systemu oceny prowadzonych zajęć oraz śledzenia losów i kariery zawodowej absolwentów, powiązania toku studiów z praktyką gospodarczą, budowanie lojalności absolwentów i studentów (D 1.2). </w:t>
            </w:r>
          </w:p>
        </w:tc>
        <w:tc>
          <w:tcPr>
            <w:tcW w:w="4578" w:type="dxa"/>
            <w:tcBorders>
              <w:bottom w:val="nil"/>
            </w:tcBorders>
          </w:tcPr>
          <w:p w:rsidR="00A8041A" w:rsidRPr="00D82C93" w:rsidRDefault="00A8041A" w:rsidP="00A8041A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zatrudnialności absolwentów</w:t>
            </w:r>
          </w:p>
        </w:tc>
      </w:tr>
      <w:tr w:rsidR="00A8041A" w:rsidRPr="00D82C93" w:rsidTr="00A8041A">
        <w:trPr>
          <w:trHeight w:val="451"/>
        </w:trPr>
        <w:tc>
          <w:tcPr>
            <w:tcW w:w="698" w:type="dxa"/>
            <w:vMerge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</w:tcPr>
          <w:p w:rsidR="00A8041A" w:rsidRPr="00D82C93" w:rsidRDefault="00A8041A" w:rsidP="00A8041A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M2 Miernik satysfakcji absolwentów</w:t>
            </w:r>
          </w:p>
        </w:tc>
      </w:tr>
      <w:tr w:rsidR="00A8041A" w:rsidRPr="00D82C93" w:rsidTr="00A8041A">
        <w:trPr>
          <w:trHeight w:val="451"/>
        </w:trPr>
        <w:tc>
          <w:tcPr>
            <w:tcW w:w="698" w:type="dxa"/>
            <w:vMerge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</w:tcPr>
          <w:p w:rsidR="00A8041A" w:rsidRPr="00D82C93" w:rsidRDefault="00A8041A" w:rsidP="00A8041A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M3 Miernik ocen programowych i instytucjonalnych PKA</w:t>
            </w:r>
          </w:p>
        </w:tc>
      </w:tr>
      <w:tr w:rsidR="00A8041A" w:rsidRPr="00D82C93" w:rsidTr="00A8041A">
        <w:trPr>
          <w:trHeight w:val="451"/>
        </w:trPr>
        <w:tc>
          <w:tcPr>
            <w:tcW w:w="698" w:type="dxa"/>
            <w:vMerge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</w:tcPr>
          <w:p w:rsidR="00A8041A" w:rsidRPr="00D82C93" w:rsidRDefault="00A8041A" w:rsidP="00A8041A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M4 Miernik hospitacji zajęć</w:t>
            </w:r>
          </w:p>
        </w:tc>
      </w:tr>
      <w:tr w:rsidR="00A8041A" w:rsidRPr="00D82C93" w:rsidTr="005A0109">
        <w:trPr>
          <w:trHeight w:val="451"/>
        </w:trPr>
        <w:tc>
          <w:tcPr>
            <w:tcW w:w="698" w:type="dxa"/>
            <w:vMerge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A8041A" w:rsidRPr="00D82C93" w:rsidRDefault="00A8041A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M5 Miernik udziału praktyk studenckich i zajęć praktycznych w programie studiów</w:t>
            </w:r>
          </w:p>
        </w:tc>
      </w:tr>
      <w:tr w:rsidR="00A8041A" w:rsidRPr="00D82C93" w:rsidTr="005A0109">
        <w:trPr>
          <w:trHeight w:val="503"/>
        </w:trPr>
        <w:tc>
          <w:tcPr>
            <w:tcW w:w="698" w:type="dxa"/>
            <w:vMerge w:val="restart"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Merge w:val="restart"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Tworzenie warunków do rozwijania aktywności studenckiej w ramach kół naukowych i samorządu studenckiego (D 1.3)</w:t>
            </w:r>
          </w:p>
        </w:tc>
        <w:tc>
          <w:tcPr>
            <w:tcW w:w="4578" w:type="dxa"/>
            <w:tcBorders>
              <w:bottom w:val="nil"/>
            </w:tcBorders>
            <w:shd w:val="clear" w:color="auto" w:fill="FFFFFF"/>
          </w:tcPr>
          <w:p w:rsidR="00A8041A" w:rsidRPr="00D82C93" w:rsidRDefault="00A8041A" w:rsidP="00A8041A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liczby kół naukowych na Wydziale</w:t>
            </w:r>
          </w:p>
        </w:tc>
      </w:tr>
      <w:tr w:rsidR="00A8041A" w:rsidRPr="00D82C93" w:rsidTr="005A0109">
        <w:trPr>
          <w:trHeight w:val="502"/>
        </w:trPr>
        <w:tc>
          <w:tcPr>
            <w:tcW w:w="698" w:type="dxa"/>
            <w:vMerge/>
          </w:tcPr>
          <w:p w:rsidR="00A8041A" w:rsidRPr="00D82C93" w:rsidRDefault="00A8041A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8041A" w:rsidRPr="00D82C93" w:rsidRDefault="00A8041A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A8041A" w:rsidRPr="00D82C93" w:rsidRDefault="00A8041A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M2 Miernik liczby członków kół naukowych</w:t>
            </w:r>
          </w:p>
        </w:tc>
      </w:tr>
      <w:tr w:rsidR="001C7F79" w:rsidRPr="00D82C93" w:rsidTr="005A0109">
        <w:trPr>
          <w:trHeight w:val="999"/>
        </w:trPr>
        <w:tc>
          <w:tcPr>
            <w:tcW w:w="698" w:type="dxa"/>
            <w:vMerge w:val="restart"/>
          </w:tcPr>
          <w:p w:rsidR="001C7F79" w:rsidRPr="00D82C93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Merge w:val="restart"/>
          </w:tcPr>
          <w:p w:rsidR="001C7F79" w:rsidRPr="00D82C93" w:rsidRDefault="001C7F79" w:rsidP="001C7F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Rozwój zaplecza dydaktycznego ze szczególnym uwzględnieniem infra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struktu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ry informatycznej, dostępu do odpowie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dnich baz danych, oprogramowania dla wszystkich uczestników procesu kształ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cenia (studentów, doktorantów i pra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cow</w:t>
            </w:r>
            <w:r w:rsidRPr="00D82C93">
              <w:rPr>
                <w:rFonts w:ascii="Times New Roman" w:hAnsi="Times New Roman"/>
                <w:sz w:val="24"/>
                <w:szCs w:val="24"/>
              </w:rPr>
              <w:softHyphen/>
              <w:t>ników) (D 1.4).</w:t>
            </w:r>
          </w:p>
        </w:tc>
        <w:tc>
          <w:tcPr>
            <w:tcW w:w="4578" w:type="dxa"/>
            <w:tcBorders>
              <w:bottom w:val="nil"/>
            </w:tcBorders>
            <w:shd w:val="clear" w:color="auto" w:fill="FFFFFF"/>
          </w:tcPr>
          <w:p w:rsidR="001C7F79" w:rsidRPr="00D82C93" w:rsidRDefault="001C7F79" w:rsidP="001C7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stosowania technik informatycznych w procesie kształcenia</w:t>
            </w:r>
          </w:p>
        </w:tc>
      </w:tr>
      <w:tr w:rsidR="001C7F79" w:rsidRPr="00D82C93" w:rsidTr="005A0109">
        <w:trPr>
          <w:trHeight w:val="998"/>
        </w:trPr>
        <w:tc>
          <w:tcPr>
            <w:tcW w:w="698" w:type="dxa"/>
            <w:vMerge/>
          </w:tcPr>
          <w:p w:rsidR="001C7F79" w:rsidRPr="00D82C93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C7F79" w:rsidRPr="00D82C93" w:rsidRDefault="001C7F79" w:rsidP="001C7F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1C7F79" w:rsidRPr="00D82C93" w:rsidRDefault="001C7F79" w:rsidP="0006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M2 Miernik wykorzystania infrastruktury informatycznej w procesie kształcenia (sale)</w:t>
            </w:r>
          </w:p>
        </w:tc>
      </w:tr>
      <w:tr w:rsidR="001C7F79" w:rsidRPr="00D82C93" w:rsidTr="005A0109">
        <w:trPr>
          <w:trHeight w:val="834"/>
        </w:trPr>
        <w:tc>
          <w:tcPr>
            <w:tcW w:w="698" w:type="dxa"/>
            <w:vMerge w:val="restart"/>
          </w:tcPr>
          <w:p w:rsidR="001C7F79" w:rsidRPr="00D82C93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Merge w:val="restart"/>
          </w:tcPr>
          <w:p w:rsidR="001C7F79" w:rsidRPr="00D82C93" w:rsidRDefault="001C7F79" w:rsidP="00E915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Utrzymanie w kolejnych latach co najmniej dotychczasowej liczby studentów na studiach I, II i III stopnia oraz rozszerzenie oferty studiów podyplomowych dzięki zapewnieniu wysokiej jakości kształcenia i odpowiedniej promocji skierowanej do kandydatów z kraju i zagranicy(D 1.5).</w:t>
            </w:r>
          </w:p>
        </w:tc>
        <w:tc>
          <w:tcPr>
            <w:tcW w:w="4578" w:type="dxa"/>
            <w:tcBorders>
              <w:bottom w:val="nil"/>
            </w:tcBorders>
            <w:shd w:val="clear" w:color="auto" w:fill="FFFFFF"/>
          </w:tcPr>
          <w:p w:rsidR="001C7F79" w:rsidRPr="00D82C93" w:rsidRDefault="001C7F79" w:rsidP="001C7F79">
            <w:pPr>
              <w:spacing w:after="0" w:line="240" w:lineRule="auto"/>
              <w:ind w:left="317" w:hanging="317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wyników matur dla przedmiotów kwalifikacyjnych dla przyjętych na pierwszy rok studiów I stopnia</w:t>
            </w:r>
          </w:p>
        </w:tc>
      </w:tr>
      <w:tr w:rsidR="001C7F79" w:rsidRPr="00D82C93" w:rsidTr="005A0109">
        <w:trPr>
          <w:trHeight w:val="833"/>
        </w:trPr>
        <w:tc>
          <w:tcPr>
            <w:tcW w:w="698" w:type="dxa"/>
            <w:vMerge/>
          </w:tcPr>
          <w:p w:rsidR="001C7F79" w:rsidRPr="00D82C93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C7F79" w:rsidRPr="00D82C93" w:rsidRDefault="001C7F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  <w:bottom w:val="nil"/>
            </w:tcBorders>
            <w:shd w:val="clear" w:color="auto" w:fill="FFFFFF"/>
          </w:tcPr>
          <w:p w:rsidR="001C7F79" w:rsidRPr="00D82C93" w:rsidRDefault="001C7F79" w:rsidP="001C7F79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M2 Miernik średnich ocen ze studiów </w:t>
            </w:r>
            <w:r w:rsidRPr="0045731E">
              <w:rPr>
                <w:rFonts w:ascii="Times New Roman" w:hAnsi="Times New Roman"/>
                <w:sz w:val="24"/>
                <w:szCs w:val="24"/>
                <w:shd w:val="clear" w:color="auto" w:fill="FFFF99"/>
              </w:rPr>
              <w:t>lub testów</w:t>
            </w:r>
            <w:r w:rsidRPr="00CE3E16">
              <w:rPr>
                <w:rFonts w:ascii="Times New Roman" w:hAnsi="Times New Roman"/>
                <w:sz w:val="24"/>
                <w:szCs w:val="24"/>
              </w:rPr>
              <w:t xml:space="preserve"> studentów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przyjętych na I rok studiów II stopnia</w:t>
            </w:r>
          </w:p>
        </w:tc>
      </w:tr>
      <w:tr w:rsidR="001C7F79" w:rsidRPr="00D82C93" w:rsidTr="005A0109">
        <w:trPr>
          <w:trHeight w:val="833"/>
        </w:trPr>
        <w:tc>
          <w:tcPr>
            <w:tcW w:w="698" w:type="dxa"/>
            <w:vMerge/>
          </w:tcPr>
          <w:p w:rsidR="001C7F79" w:rsidRPr="00D82C93" w:rsidRDefault="001C7F79" w:rsidP="00BA1172">
            <w:pPr>
              <w:pStyle w:val="Akapitzlist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C7F79" w:rsidRPr="00D82C93" w:rsidRDefault="001C7F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nil"/>
            </w:tcBorders>
            <w:shd w:val="clear" w:color="auto" w:fill="FFFFFF"/>
          </w:tcPr>
          <w:p w:rsidR="001C7F79" w:rsidRPr="00D82C93" w:rsidRDefault="001C7F79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M3 Miernik liczby studentów na poszczególnych kierunkach, poziomach i formach kształcenia</w:t>
            </w:r>
          </w:p>
        </w:tc>
      </w:tr>
    </w:tbl>
    <w:p w:rsidR="004330CA" w:rsidRPr="00D82C93" w:rsidRDefault="004330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30CA" w:rsidRPr="00D82C93" w:rsidRDefault="007159EC" w:rsidP="009C1289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82C93">
        <w:rPr>
          <w:rFonts w:ascii="Times New Roman" w:hAnsi="Times New Roman"/>
          <w:b/>
          <w:sz w:val="24"/>
          <w:szCs w:val="24"/>
        </w:rPr>
        <w:br w:type="page"/>
      </w:r>
      <w:r w:rsidR="00BB1D1D" w:rsidRPr="00D82C93">
        <w:rPr>
          <w:rFonts w:ascii="Times New Roman" w:hAnsi="Times New Roman"/>
          <w:b/>
          <w:sz w:val="24"/>
          <w:szCs w:val="24"/>
        </w:rPr>
        <w:lastRenderedPageBreak/>
        <w:t>Wzmocnienie pozycji naukowej Wydziału w krajowej i międzynarodowej przestrzeni badawczej (C2)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4536"/>
      </w:tblGrid>
      <w:tr w:rsidR="007159EC" w:rsidRPr="00D82C93" w:rsidTr="005115B2">
        <w:trPr>
          <w:trHeight w:val="20"/>
        </w:trPr>
        <w:tc>
          <w:tcPr>
            <w:tcW w:w="675" w:type="dxa"/>
          </w:tcPr>
          <w:p w:rsidR="007159EC" w:rsidRPr="00D82C93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C9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</w:tcPr>
          <w:p w:rsidR="007159EC" w:rsidRPr="00D82C93" w:rsidRDefault="007159EC" w:rsidP="0093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C93">
              <w:rPr>
                <w:rFonts w:ascii="Times New Roman" w:hAnsi="Times New Roman"/>
                <w:b/>
                <w:sz w:val="24"/>
                <w:szCs w:val="24"/>
              </w:rPr>
              <w:t>Działania strategiczne</w:t>
            </w:r>
            <w:r w:rsidR="0093182E" w:rsidRPr="00D82C93">
              <w:rPr>
                <w:rFonts w:ascii="Times New Roman" w:hAnsi="Times New Roman"/>
                <w:b/>
                <w:sz w:val="24"/>
                <w:szCs w:val="24"/>
              </w:rPr>
              <w:t xml:space="preserve"> (D)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:rsidR="007159EC" w:rsidRPr="00D82C93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2C93">
              <w:rPr>
                <w:rFonts w:ascii="Times New Roman" w:hAnsi="Times New Roman"/>
                <w:b/>
                <w:sz w:val="24"/>
                <w:szCs w:val="24"/>
              </w:rPr>
              <w:t xml:space="preserve">Miernik 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 w:val="restart"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Doskonalenie procesu badawczego i prezentacji jego efektów w postaci zwiększonej liczby publikacji w czasopismach o międzynarodowej i krajowej renomie i wysokim współczynniku oddziaływania (D 2.1)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9C1289" w:rsidRPr="00D82C93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przeciętnej wartości punktowej monografii i artykułów naukowych branych pod uwagę w procesie parametryzacji jednostek naukowych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FFFFFF"/>
          </w:tcPr>
          <w:p w:rsidR="009C1289" w:rsidRPr="00D82C93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FFFFFF"/>
          </w:tcPr>
          <w:p w:rsidR="009C1289" w:rsidRPr="00D82C93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E564C3" w:rsidRPr="00D82C93">
              <w:rPr>
                <w:rFonts w:ascii="Times New Roman" w:hAnsi="Times New Roman"/>
                <w:sz w:val="24"/>
                <w:szCs w:val="24"/>
              </w:rPr>
              <w:t>M2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Miernik rangi publikacji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FFFFFF"/>
          </w:tcPr>
          <w:p w:rsidR="009C1289" w:rsidRPr="00D82C93" w:rsidRDefault="009C1289" w:rsidP="00C0085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E564C3" w:rsidRPr="00D82C93">
              <w:rPr>
                <w:rFonts w:ascii="Times New Roman" w:hAnsi="Times New Roman"/>
                <w:sz w:val="24"/>
                <w:szCs w:val="24"/>
              </w:rPr>
              <w:t>M3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Miernik liczby publikacji popularnonaukowych i dydaktycznych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FFFFFF"/>
          </w:tcPr>
          <w:p w:rsidR="009C1289" w:rsidRPr="00D82C93" w:rsidRDefault="009C1289" w:rsidP="00C0085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E564C3" w:rsidRPr="00D82C93">
              <w:rPr>
                <w:rFonts w:ascii="Times New Roman" w:hAnsi="Times New Roman"/>
                <w:sz w:val="24"/>
                <w:szCs w:val="24"/>
              </w:rPr>
              <w:t>M4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Miernik międzynarodowej widoczności wyników badań</w:t>
            </w:r>
          </w:p>
        </w:tc>
      </w:tr>
      <w:tr w:rsidR="007159EC" w:rsidRPr="00D82C93" w:rsidTr="005115B2">
        <w:trPr>
          <w:trHeight w:val="20"/>
        </w:trPr>
        <w:tc>
          <w:tcPr>
            <w:tcW w:w="675" w:type="dxa"/>
          </w:tcPr>
          <w:p w:rsidR="007159EC" w:rsidRPr="00D82C93" w:rsidRDefault="007159EC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159EC" w:rsidRPr="00D82C93" w:rsidRDefault="007159EC" w:rsidP="00BA1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Intensyfikowaniu działań w zakresie pozyskiwania dodatkowego finansowania działalności naukowej w formie grantów pozyskiwanych ze źródeł krajowych i zagranicznych, w tym tworzenia interdyscyplinarnych zespołów badawczych. (D 2.2)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:rsidR="0082587B" w:rsidRPr="00D82C93" w:rsidRDefault="00A8041A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="0082587B" w:rsidRPr="00D82C93">
              <w:rPr>
                <w:rFonts w:ascii="Times New Roman" w:hAnsi="Times New Roman"/>
                <w:sz w:val="24"/>
                <w:szCs w:val="24"/>
              </w:rPr>
              <w:t>M1 Miernik liczba międzynarodowych projektów badawczych</w:t>
            </w:r>
          </w:p>
          <w:p w:rsidR="007159EC" w:rsidRPr="00D82C93" w:rsidRDefault="00A8041A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M</w:t>
            </w:r>
            <w:r w:rsidR="0082587B" w:rsidRPr="00D82C93">
              <w:rPr>
                <w:rFonts w:ascii="Times New Roman" w:hAnsi="Times New Roman"/>
                <w:sz w:val="24"/>
                <w:szCs w:val="24"/>
              </w:rPr>
              <w:t>2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 xml:space="preserve"> Miernik wartości międzynarodowych</w:t>
            </w:r>
            <w:r w:rsidR="00C00852" w:rsidRPr="00D8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projektów badawczych</w:t>
            </w:r>
          </w:p>
          <w:p w:rsidR="0082587B" w:rsidRPr="00D82C93" w:rsidRDefault="00A8041A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="0082587B" w:rsidRPr="00D82C93">
              <w:rPr>
                <w:rFonts w:ascii="Times New Roman" w:hAnsi="Times New Roman"/>
                <w:sz w:val="24"/>
                <w:szCs w:val="24"/>
              </w:rPr>
              <w:t>M3 Miernik liczba krajowych projektów badawczych</w:t>
            </w:r>
          </w:p>
          <w:p w:rsidR="007159EC" w:rsidRPr="00D82C93" w:rsidRDefault="00A8041A">
            <w:pPr>
              <w:spacing w:after="0" w:line="240" w:lineRule="auto"/>
              <w:ind w:left="317" w:hanging="284"/>
              <w:rPr>
                <w:rFonts w:ascii="Times New Roman" w:hAnsi="Times New Roman"/>
                <w:color w:val="006600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M</w:t>
            </w:r>
            <w:r w:rsidR="0082587B" w:rsidRPr="00D82C93">
              <w:rPr>
                <w:rFonts w:ascii="Times New Roman" w:hAnsi="Times New Roman"/>
                <w:sz w:val="24"/>
                <w:szCs w:val="24"/>
              </w:rPr>
              <w:t>4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 xml:space="preserve"> Miernik wartości krajowych projektów badawczych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 w:val="restart"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 xml:space="preserve">Rozwój własnej kadry naukowej poprzez uzyskiwanie w czasie określonym prawem stopni naukowych oraz zapewnianie możliwości do rozwoju naukowego osób niebędących pracownikami Wydziału (D 2.3). 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9C1289" w:rsidRPr="00D82C93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udziału przewodów doktorskich otwieranych w pierwszych trzech latach studiów doktoranckich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FFFFFF"/>
          </w:tcPr>
          <w:p w:rsidR="009C1289" w:rsidRPr="00D82C93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M2 Miernik terminowości obron doktorskich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FFFFFF"/>
          </w:tcPr>
          <w:p w:rsidR="009C1289" w:rsidRPr="00D82C93" w:rsidRDefault="009C1289" w:rsidP="00094D5F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M3 Miernik szybkości awansów naukowych (habilitacja, profesura) 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9C1289" w:rsidRPr="00D82C93" w:rsidRDefault="009C1289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M4 Miernik liczby stopni i tytułów naukowych uzyskanych przez osoby spoza Wydziału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 w:val="restart"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 xml:space="preserve">Wzmocnienie pozycji i aktywności wydawniczej Wydziału oraz kontynuowaniu działań na rzecz uzyskania przez czasopisma wydziałowe najwyższej punktacji (D 2.4). 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9C1289" w:rsidRPr="00D82C93" w:rsidRDefault="009C1289" w:rsidP="00094D5F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M1 Miernik liczby punktów w ocenie czasopism naukowych </w:t>
            </w:r>
          </w:p>
        </w:tc>
      </w:tr>
      <w:tr w:rsidR="009C1289" w:rsidRPr="00D82C93" w:rsidTr="005A0109">
        <w:trPr>
          <w:trHeight w:val="20"/>
        </w:trPr>
        <w:tc>
          <w:tcPr>
            <w:tcW w:w="675" w:type="dxa"/>
            <w:vMerge/>
          </w:tcPr>
          <w:p w:rsidR="009C1289" w:rsidRPr="00D82C93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D82C93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FFFFFF"/>
          </w:tcPr>
          <w:p w:rsidR="009C1289" w:rsidRPr="00D82C93" w:rsidRDefault="009C1289" w:rsidP="00BA1172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9EC" w:rsidRPr="00D82C93" w:rsidTr="009C1289">
        <w:trPr>
          <w:trHeight w:val="20"/>
        </w:trPr>
        <w:tc>
          <w:tcPr>
            <w:tcW w:w="675" w:type="dxa"/>
          </w:tcPr>
          <w:p w:rsidR="007159EC" w:rsidRPr="00D82C93" w:rsidRDefault="007159EC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7159EC" w:rsidRPr="00D82C93" w:rsidRDefault="007159EC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Uzyskanie najwyższej kategorii naukowej w ocenie parametrycznej jednostek naukowych (D 2.5)</w:t>
            </w:r>
          </w:p>
        </w:tc>
        <w:tc>
          <w:tcPr>
            <w:tcW w:w="4536" w:type="dxa"/>
          </w:tcPr>
          <w:p w:rsidR="007159EC" w:rsidRPr="00D82C93" w:rsidRDefault="00A8041A" w:rsidP="00094D5F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5.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 xml:space="preserve">M2 Miernik kategoria jednostki naukowej </w:t>
            </w:r>
          </w:p>
        </w:tc>
      </w:tr>
      <w:tr w:rsidR="007159EC" w:rsidRPr="00BA1172" w:rsidTr="009C1289">
        <w:trPr>
          <w:trHeight w:val="20"/>
        </w:trPr>
        <w:tc>
          <w:tcPr>
            <w:tcW w:w="675" w:type="dxa"/>
          </w:tcPr>
          <w:p w:rsidR="007159EC" w:rsidRPr="00D82C93" w:rsidRDefault="007159EC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7159EC" w:rsidRPr="00D82C93" w:rsidRDefault="007159EC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 xml:space="preserve">Uzyskaniu uprawnień do doktoryzowania w dziedzinie nauk ekonomicznych w dyscyplinach finanse oraz nauki o zarządzaniu (D 2.6). </w:t>
            </w:r>
          </w:p>
        </w:tc>
        <w:tc>
          <w:tcPr>
            <w:tcW w:w="4536" w:type="dxa"/>
          </w:tcPr>
          <w:p w:rsidR="007159EC" w:rsidRPr="00094D5F" w:rsidRDefault="00A8041A" w:rsidP="00A8041A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2.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6.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M2 Miernik uprawnień jednostki naukowej</w:t>
            </w:r>
          </w:p>
        </w:tc>
      </w:tr>
    </w:tbl>
    <w:p w:rsidR="004330CA" w:rsidRDefault="007159EC">
      <w:pPr>
        <w:pStyle w:val="Akapitzlist"/>
        <w:numPr>
          <w:ilvl w:val="0"/>
          <w:numId w:val="56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BB1D1D" w:rsidRPr="00BB1D1D">
        <w:rPr>
          <w:rFonts w:ascii="Times New Roman" w:hAnsi="Times New Roman"/>
          <w:b/>
          <w:sz w:val="24"/>
          <w:szCs w:val="24"/>
        </w:rPr>
        <w:lastRenderedPageBreak/>
        <w:t>Poszerzenie współpracy z wiodącymi ośrodkami krajowymi i zagranicznymi w zakresie kształcenia</w:t>
      </w:r>
      <w:r>
        <w:rPr>
          <w:rFonts w:ascii="Times New Roman" w:hAnsi="Times New Roman"/>
          <w:b/>
          <w:sz w:val="24"/>
          <w:szCs w:val="24"/>
        </w:rPr>
        <w:t xml:space="preserve"> i </w:t>
      </w:r>
      <w:r w:rsidR="00BB1D1D" w:rsidRPr="00BB1D1D">
        <w:rPr>
          <w:rFonts w:ascii="Times New Roman" w:hAnsi="Times New Roman"/>
          <w:b/>
          <w:sz w:val="24"/>
          <w:szCs w:val="24"/>
        </w:rPr>
        <w:t>badań naukowych (C3)</w:t>
      </w:r>
    </w:p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4252"/>
      </w:tblGrid>
      <w:tr w:rsidR="007159EC" w:rsidRPr="00BA1172" w:rsidTr="00094D5F">
        <w:trPr>
          <w:trHeight w:val="285"/>
        </w:trPr>
        <w:tc>
          <w:tcPr>
            <w:tcW w:w="675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Działania strategiczne</w:t>
            </w:r>
            <w:r w:rsidR="0093182E">
              <w:rPr>
                <w:rFonts w:ascii="Times New Roman" w:hAnsi="Times New Roman"/>
                <w:b/>
                <w:sz w:val="24"/>
                <w:szCs w:val="24"/>
              </w:rPr>
              <w:t xml:space="preserve"> (D)</w:t>
            </w:r>
          </w:p>
        </w:tc>
        <w:tc>
          <w:tcPr>
            <w:tcW w:w="4252" w:type="dxa"/>
            <w:tcBorders>
              <w:bottom w:val="single" w:sz="2" w:space="0" w:color="auto"/>
            </w:tcBorders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 xml:space="preserve">Miernik 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 w:val="restart"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Zwiększenie zaangażowania pracowników w krajowych i międzynarodowych towarzystwach i organizacjach naukowych, radach naukowych czasopism, zespołach eksperckich, sieciach współpracy. (D3.1)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FFFFFF"/>
          </w:tcPr>
          <w:p w:rsidR="009C1289" w:rsidRPr="00094D5F" w:rsidRDefault="009C1289" w:rsidP="009C128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M1 Miernik udziału pracowników w krajowych i międzynarodowych towarzystwach naukowych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9C1289" w:rsidRPr="00094D5F" w:rsidRDefault="009C1289" w:rsidP="00BA1172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M2 Miernik udziału pracowników w radach naukowych czasopism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 w:val="restart"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Intensyfikacja wymiany zagranicznej stu</w:t>
            </w:r>
            <w:r w:rsidR="005115B2" w:rsidRPr="00094D5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94D5F">
              <w:rPr>
                <w:rFonts w:ascii="Times New Roman" w:hAnsi="Times New Roman"/>
                <w:sz w:val="24"/>
                <w:szCs w:val="24"/>
              </w:rPr>
              <w:t>dentów przez zawieranie kolejnych umów m.in. w ramach programów Erasmus i Ceepus oraz kreowanie i rozwijanie ofert edukacyjnych w języku angielskim na studiach I i II stopnia. (D3.2)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FFFFFF"/>
          </w:tcPr>
          <w:p w:rsidR="009C1289" w:rsidRPr="00094D5F" w:rsidRDefault="009C128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M1 Miernik wymiany akademickiej – przyjazdy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9C1289" w:rsidRPr="00094D5F" w:rsidRDefault="009C1289" w:rsidP="00BA1172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M2 Miernik wymiany akademickiej – wyjazdy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 w:val="restart"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Zintensyfikowanie międzynarodowych kontaktów naukowych i dydaktycznych pracowników i studentów studiów doktoranckich (D 3.3)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FFFFFF"/>
          </w:tcPr>
          <w:p w:rsidR="009C1289" w:rsidRPr="00094D5F" w:rsidRDefault="009C1289" w:rsidP="009C1289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M2 Miernik aktywności konferencyjnej pracowników i doktorantów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FFFFFF"/>
          </w:tcPr>
          <w:p w:rsidR="009C1289" w:rsidRPr="00094D5F" w:rsidRDefault="009C1289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M1 Miernik internacjonalizacji kształcenia- profesorowie wizytujący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  <w:shd w:val="clear" w:color="auto" w:fill="FFFFFF"/>
          </w:tcPr>
          <w:p w:rsidR="009C1289" w:rsidRPr="00094D5F" w:rsidRDefault="009C1289" w:rsidP="00BA1172">
            <w:p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M3 Miernik staże w zagranicznych ośrodkach</w:t>
            </w:r>
          </w:p>
        </w:tc>
      </w:tr>
    </w:tbl>
    <w:p w:rsidR="004330CA" w:rsidRPr="00094D5F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Pr="00094D5F" w:rsidRDefault="00433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0CA" w:rsidRPr="00094D5F" w:rsidRDefault="007159EC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4D5F">
        <w:rPr>
          <w:rFonts w:ascii="Times New Roman" w:hAnsi="Times New Roman"/>
          <w:b/>
          <w:sz w:val="24"/>
          <w:szCs w:val="24"/>
        </w:rPr>
        <w:t>Rozwój współpracy z otoczeniem gospodarczym w tym włączenie interesariuszy w proces doskonalenia jakości kształcenia (C4)</w:t>
      </w:r>
    </w:p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675"/>
        <w:gridCol w:w="4395"/>
        <w:gridCol w:w="4252"/>
      </w:tblGrid>
      <w:tr w:rsidR="007159EC" w:rsidRPr="00094D5F" w:rsidTr="005115B2">
        <w:trPr>
          <w:trHeight w:val="20"/>
        </w:trPr>
        <w:tc>
          <w:tcPr>
            <w:tcW w:w="675" w:type="dxa"/>
          </w:tcPr>
          <w:p w:rsidR="007159EC" w:rsidRPr="00094D5F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D5F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</w:tcPr>
          <w:p w:rsidR="007159EC" w:rsidRPr="00094D5F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D5F">
              <w:rPr>
                <w:rFonts w:ascii="Times New Roman" w:hAnsi="Times New Roman"/>
                <w:b/>
                <w:sz w:val="24"/>
                <w:szCs w:val="24"/>
              </w:rPr>
              <w:t>Działania strategiczne</w:t>
            </w:r>
            <w:r w:rsidR="0093182E" w:rsidRPr="00094D5F">
              <w:rPr>
                <w:rFonts w:ascii="Times New Roman" w:hAnsi="Times New Roman"/>
                <w:b/>
                <w:sz w:val="24"/>
                <w:szCs w:val="24"/>
              </w:rPr>
              <w:t xml:space="preserve"> (D)</w:t>
            </w:r>
          </w:p>
        </w:tc>
        <w:tc>
          <w:tcPr>
            <w:tcW w:w="4252" w:type="dxa"/>
            <w:tcBorders>
              <w:bottom w:val="single" w:sz="2" w:space="0" w:color="auto"/>
            </w:tcBorders>
          </w:tcPr>
          <w:p w:rsidR="007159EC" w:rsidRPr="00094D5F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D5F">
              <w:rPr>
                <w:rFonts w:ascii="Times New Roman" w:hAnsi="Times New Roman"/>
                <w:b/>
                <w:sz w:val="24"/>
                <w:szCs w:val="24"/>
              </w:rPr>
              <w:t xml:space="preserve">Miernik 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 w:val="restart"/>
          </w:tcPr>
          <w:p w:rsidR="009C1289" w:rsidRPr="00094D5F" w:rsidRDefault="009C1289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Podejmowanie dalszej współpracy z podmiotami gospodarczymi i administracji w celu organizacji stażów i praktyk dostosowanych do specyfiki kierunku studiów oraz ściślejsze powiązanie praktyk z procesem dydaktycznym i pracami dyplomowymi. (D 4.1)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FFFFFF"/>
          </w:tcPr>
          <w:p w:rsidR="009C1289" w:rsidRPr="00094D5F" w:rsidRDefault="005115B2" w:rsidP="009C1289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9C1289" w:rsidRPr="00094D5F">
              <w:rPr>
                <w:rFonts w:ascii="Times New Roman" w:hAnsi="Times New Roman"/>
                <w:sz w:val="24"/>
                <w:szCs w:val="24"/>
              </w:rPr>
              <w:t>M1 Miernik liczby umów i porozumień z podmiotami gospodarczymi</w:t>
            </w:r>
          </w:p>
        </w:tc>
      </w:tr>
      <w:tr w:rsidR="00D82C93" w:rsidRPr="00094D5F" w:rsidTr="005A0109">
        <w:trPr>
          <w:trHeight w:val="906"/>
        </w:trPr>
        <w:tc>
          <w:tcPr>
            <w:tcW w:w="675" w:type="dxa"/>
            <w:vMerge/>
          </w:tcPr>
          <w:p w:rsidR="005115B2" w:rsidRPr="00094D5F" w:rsidRDefault="005115B2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115B2" w:rsidRPr="00094D5F" w:rsidRDefault="005115B2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FFFFFF"/>
          </w:tcPr>
          <w:p w:rsidR="005115B2" w:rsidRPr="00094D5F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M3 Miernik liczby projektów realizowanych we współpracy z podmiotami otoczenia gospodarczego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FFFFFF"/>
          </w:tcPr>
          <w:p w:rsidR="009C1289" w:rsidRPr="00094D5F" w:rsidRDefault="005115B2" w:rsidP="009C1289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9C1289" w:rsidRPr="00094D5F">
              <w:rPr>
                <w:rFonts w:ascii="Times New Roman" w:hAnsi="Times New Roman"/>
                <w:sz w:val="24"/>
                <w:szCs w:val="24"/>
              </w:rPr>
              <w:t>M3 Miernik wartości projektów realizowanych we współpracy z podmiotami otoczenia gospodarczego</w:t>
            </w:r>
          </w:p>
        </w:tc>
      </w:tr>
      <w:tr w:rsidR="00D82C93" w:rsidRPr="00094D5F" w:rsidTr="005A0109">
        <w:trPr>
          <w:trHeight w:val="20"/>
        </w:trPr>
        <w:tc>
          <w:tcPr>
            <w:tcW w:w="675" w:type="dxa"/>
            <w:vMerge/>
          </w:tcPr>
          <w:p w:rsidR="009C1289" w:rsidRPr="00094D5F" w:rsidRDefault="009C1289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C1289" w:rsidRPr="00094D5F" w:rsidRDefault="009C1289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single" w:sz="2" w:space="0" w:color="auto"/>
            </w:tcBorders>
            <w:shd w:val="clear" w:color="auto" w:fill="FFFFFF"/>
          </w:tcPr>
          <w:p w:rsidR="009C1289" w:rsidRPr="00094D5F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="009C1289" w:rsidRPr="00094D5F">
              <w:rPr>
                <w:rFonts w:ascii="Times New Roman" w:hAnsi="Times New Roman"/>
                <w:sz w:val="24"/>
                <w:szCs w:val="24"/>
              </w:rPr>
              <w:t>M4 Miernik liczby studiów podyplomowych</w:t>
            </w:r>
          </w:p>
        </w:tc>
      </w:tr>
      <w:tr w:rsidR="00D82C93" w:rsidRPr="00094D5F" w:rsidTr="005A0109">
        <w:trPr>
          <w:trHeight w:val="727"/>
        </w:trPr>
        <w:tc>
          <w:tcPr>
            <w:tcW w:w="675" w:type="dxa"/>
            <w:vMerge w:val="restart"/>
          </w:tcPr>
          <w:p w:rsidR="005115B2" w:rsidRPr="00094D5F" w:rsidRDefault="005115B2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</w:tcPr>
          <w:p w:rsidR="005115B2" w:rsidRPr="00094D5F" w:rsidRDefault="005115B2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Aktywne włączenie przedstawicieli praktyki gospodarczej, instytucji administracyjnych i absolwentów w prace nad rozwojem programów kształcenia na Wydziale Nauk Ekonomicznych. (D 4.2)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FFFFFF"/>
          </w:tcPr>
          <w:p w:rsidR="005115B2" w:rsidRPr="00094D5F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 xml:space="preserve">M1 Miernik udziału interesariuszy zewnętrznych w opiniowaniu programów kształcenia </w:t>
            </w:r>
            <w:r w:rsidRPr="00094D5F">
              <w:rPr>
                <w:rFonts w:ascii="Times New Roman" w:hAnsi="Times New Roman"/>
                <w:sz w:val="20"/>
                <w:szCs w:val="24"/>
                <w:shd w:val="clear" w:color="auto" w:fill="FFFF99"/>
              </w:rPr>
              <w:t>(liczba osób/firm)</w:t>
            </w:r>
          </w:p>
        </w:tc>
      </w:tr>
      <w:tr w:rsidR="00D82C93" w:rsidRPr="00094D5F" w:rsidTr="005A0109">
        <w:trPr>
          <w:trHeight w:val="727"/>
        </w:trPr>
        <w:tc>
          <w:tcPr>
            <w:tcW w:w="675" w:type="dxa"/>
            <w:vMerge/>
          </w:tcPr>
          <w:p w:rsidR="005115B2" w:rsidRPr="00094D5F" w:rsidRDefault="005115B2" w:rsidP="00BA1172">
            <w:pPr>
              <w:pStyle w:val="Akapitzlist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115B2" w:rsidRPr="00094D5F" w:rsidRDefault="005115B2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  <w:shd w:val="clear" w:color="auto" w:fill="FFFFFF"/>
          </w:tcPr>
          <w:p w:rsidR="005115B2" w:rsidRPr="00094D5F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094D5F">
              <w:rPr>
                <w:rFonts w:ascii="Times New Roman" w:hAnsi="Times New Roman"/>
                <w:sz w:val="24"/>
                <w:szCs w:val="24"/>
              </w:rPr>
              <w:t>D</w:t>
            </w:r>
            <w:r w:rsidRPr="00094D5F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Pr="00094D5F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Pr="00094D5F">
              <w:rPr>
                <w:rFonts w:ascii="Times New Roman" w:hAnsi="Times New Roman"/>
                <w:sz w:val="24"/>
                <w:szCs w:val="24"/>
              </w:rPr>
              <w:t>M2 Miernik udziału praktyków w prowadzeniu zajęć dydaktycznych</w:t>
            </w:r>
          </w:p>
        </w:tc>
      </w:tr>
    </w:tbl>
    <w:p w:rsidR="007159EC" w:rsidRDefault="007159EC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330CA" w:rsidRDefault="007159EC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5D146D">
        <w:rPr>
          <w:rFonts w:ascii="Times New Roman" w:hAnsi="Times New Roman"/>
          <w:b/>
          <w:sz w:val="24"/>
          <w:szCs w:val="24"/>
        </w:rPr>
        <w:lastRenderedPageBreak/>
        <w:t>Usprawnienie procesu administracyjnego</w:t>
      </w:r>
      <w:r>
        <w:rPr>
          <w:rFonts w:ascii="Times New Roman" w:hAnsi="Times New Roman"/>
          <w:b/>
          <w:sz w:val="24"/>
          <w:szCs w:val="24"/>
        </w:rPr>
        <w:t>,</w:t>
      </w:r>
      <w:r w:rsidRPr="005D146D">
        <w:rPr>
          <w:rFonts w:ascii="Times New Roman" w:hAnsi="Times New Roman"/>
          <w:b/>
          <w:sz w:val="24"/>
          <w:szCs w:val="24"/>
        </w:rPr>
        <w:t xml:space="preserve"> doskonalenie kultury organizacyjnej </w:t>
      </w:r>
      <w:r>
        <w:rPr>
          <w:rFonts w:ascii="Times New Roman" w:hAnsi="Times New Roman"/>
          <w:b/>
          <w:sz w:val="24"/>
          <w:szCs w:val="24"/>
        </w:rPr>
        <w:t>i utrzymanie stabilnej sytuacji finansowej</w:t>
      </w:r>
      <w:r w:rsidRPr="005D146D">
        <w:rPr>
          <w:rFonts w:ascii="Times New Roman" w:hAnsi="Times New Roman"/>
          <w:b/>
          <w:sz w:val="24"/>
          <w:szCs w:val="24"/>
        </w:rPr>
        <w:t>(C5)</w:t>
      </w:r>
    </w:p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4252"/>
      </w:tblGrid>
      <w:tr w:rsidR="007159EC" w:rsidRPr="00BA1172" w:rsidTr="005115B2">
        <w:tc>
          <w:tcPr>
            <w:tcW w:w="675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95" w:type="dxa"/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Działania strategiczne</w:t>
            </w:r>
            <w:r w:rsidR="0073623F">
              <w:rPr>
                <w:rFonts w:ascii="Times New Roman" w:hAnsi="Times New Roman"/>
                <w:b/>
                <w:sz w:val="24"/>
                <w:szCs w:val="24"/>
              </w:rPr>
              <w:t xml:space="preserve"> (D)</w:t>
            </w:r>
          </w:p>
        </w:tc>
        <w:tc>
          <w:tcPr>
            <w:tcW w:w="4252" w:type="dxa"/>
            <w:tcBorders>
              <w:bottom w:val="single" w:sz="2" w:space="0" w:color="auto"/>
            </w:tcBorders>
          </w:tcPr>
          <w:p w:rsidR="007159EC" w:rsidRPr="00BA1172" w:rsidRDefault="007159EC" w:rsidP="00BA1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1172">
              <w:rPr>
                <w:rFonts w:ascii="Times New Roman" w:hAnsi="Times New Roman"/>
                <w:b/>
                <w:sz w:val="24"/>
                <w:szCs w:val="24"/>
              </w:rPr>
              <w:t>Miernik</w:t>
            </w:r>
          </w:p>
        </w:tc>
      </w:tr>
      <w:tr w:rsidR="005115B2" w:rsidRPr="00BA1172" w:rsidTr="005115B2">
        <w:trPr>
          <w:trHeight w:val="747"/>
        </w:trPr>
        <w:tc>
          <w:tcPr>
            <w:tcW w:w="675" w:type="dxa"/>
            <w:vMerge w:val="restart"/>
          </w:tcPr>
          <w:p w:rsidR="005115B2" w:rsidRPr="00BA1172" w:rsidRDefault="005115B2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5115B2" w:rsidRPr="00BA1172" w:rsidRDefault="005115B2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 xml:space="preserve">Doskonalenie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procesów </w:t>
            </w:r>
            <w:r w:rsidRPr="00BA1172">
              <w:rPr>
                <w:rFonts w:ascii="Times New Roman" w:hAnsi="Times New Roman"/>
                <w:sz w:val="24"/>
                <w:szCs w:val="24"/>
              </w:rPr>
              <w:t xml:space="preserve">obsługi administracyjnej, technicznej oraz informatycznej zarówno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odniesieniu do </w:t>
            </w:r>
            <w:r w:rsidRPr="00BA1172">
              <w:rPr>
                <w:rFonts w:ascii="Times New Roman" w:hAnsi="Times New Roman"/>
                <w:sz w:val="24"/>
                <w:szCs w:val="24"/>
              </w:rPr>
              <w:t xml:space="preserve">procesu dydaktycznego jak i badań naukowych i projektów badawczych. (D 5.1) </w:t>
            </w:r>
          </w:p>
        </w:tc>
        <w:tc>
          <w:tcPr>
            <w:tcW w:w="4252" w:type="dxa"/>
            <w:tcBorders>
              <w:bottom w:val="nil"/>
            </w:tcBorders>
          </w:tcPr>
          <w:p w:rsidR="005115B2" w:rsidRPr="00D82C93" w:rsidRDefault="005115B2" w:rsidP="00094D5F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M1 Miernik poziomu obsługi pracowników </w:t>
            </w:r>
          </w:p>
        </w:tc>
      </w:tr>
      <w:tr w:rsidR="005115B2" w:rsidRPr="00BA1172" w:rsidTr="005115B2">
        <w:trPr>
          <w:trHeight w:val="747"/>
        </w:trPr>
        <w:tc>
          <w:tcPr>
            <w:tcW w:w="675" w:type="dxa"/>
            <w:vMerge/>
          </w:tcPr>
          <w:p w:rsidR="005115B2" w:rsidRPr="00BA1172" w:rsidRDefault="005115B2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115B2" w:rsidRPr="00BA1172" w:rsidRDefault="005115B2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5115B2" w:rsidRPr="00D82C93" w:rsidRDefault="005115B2" w:rsidP="00094D5F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1.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M2 Miernik poziomu obsługi studentów </w:t>
            </w:r>
          </w:p>
        </w:tc>
      </w:tr>
      <w:tr w:rsidR="007159EC" w:rsidRPr="00BA1172" w:rsidTr="005A0109">
        <w:tc>
          <w:tcPr>
            <w:tcW w:w="675" w:type="dxa"/>
          </w:tcPr>
          <w:p w:rsidR="007159EC" w:rsidRPr="00BA1172" w:rsidRDefault="007159EC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7159EC" w:rsidRPr="00BA1172" w:rsidRDefault="00715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Rozbudowa systemu komunikacji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wewnętrznej i zewnętrznej</w:t>
            </w:r>
            <w:r w:rsidR="003678BF">
              <w:rPr>
                <w:rFonts w:ascii="Times New Roman" w:hAnsi="Times New Roman"/>
                <w:sz w:val="24"/>
                <w:szCs w:val="24"/>
              </w:rPr>
              <w:t xml:space="preserve"> dotyczącej wyników badań i innych osiągnięć</w:t>
            </w:r>
            <w:r w:rsidRPr="00BA1172">
              <w:rPr>
                <w:rFonts w:ascii="Times New Roman" w:hAnsi="Times New Roman"/>
                <w:sz w:val="24"/>
                <w:szCs w:val="24"/>
              </w:rPr>
              <w:t xml:space="preserve">, w tym wydziałowej strony internetowej w języku polskim i angielskim 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stron </w:t>
            </w:r>
            <w:r w:rsidRPr="00BA1172">
              <w:rPr>
                <w:rFonts w:ascii="Times New Roman" w:hAnsi="Times New Roman"/>
                <w:sz w:val="24"/>
                <w:szCs w:val="24"/>
              </w:rPr>
              <w:t>pracowników. (D 5.2)</w:t>
            </w:r>
          </w:p>
        </w:tc>
        <w:tc>
          <w:tcPr>
            <w:tcW w:w="4252" w:type="dxa"/>
            <w:shd w:val="clear" w:color="auto" w:fill="FFFFFF"/>
          </w:tcPr>
          <w:p w:rsidR="007159EC" w:rsidRPr="00D82C93" w:rsidRDefault="005115B2" w:rsidP="00094D5F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M1 Miernik liczby stron www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159EC" w:rsidRPr="00BA1172" w:rsidTr="005A0109">
        <w:tc>
          <w:tcPr>
            <w:tcW w:w="675" w:type="dxa"/>
          </w:tcPr>
          <w:p w:rsidR="007159EC" w:rsidRPr="00BA1172" w:rsidRDefault="007159EC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7159EC" w:rsidRPr="00BA1172" w:rsidRDefault="007159EC" w:rsidP="00BA11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Kształtowanie i wspomaganie postaw ambasadorów działalności edukacyjnej i naukowej Wydziału wśród pracowników i studentów (D 5.3).</w:t>
            </w:r>
          </w:p>
        </w:tc>
        <w:tc>
          <w:tcPr>
            <w:tcW w:w="4252" w:type="dxa"/>
            <w:tcBorders>
              <w:bottom w:val="single" w:sz="2" w:space="0" w:color="auto"/>
            </w:tcBorders>
            <w:shd w:val="clear" w:color="auto" w:fill="FFFFFF"/>
          </w:tcPr>
          <w:p w:rsidR="007159EC" w:rsidRPr="00D82C93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3.</w:t>
            </w:r>
            <w:r w:rsidR="007159EC" w:rsidRPr="00D82C93">
              <w:rPr>
                <w:rFonts w:ascii="Times New Roman" w:hAnsi="Times New Roman"/>
                <w:sz w:val="24"/>
                <w:szCs w:val="24"/>
              </w:rPr>
              <w:t>M1 Miernik zaangażowania pracowników i studentów w promocję Wydziału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 xml:space="preserve"> (liczba spotkań)</w:t>
            </w:r>
          </w:p>
        </w:tc>
      </w:tr>
      <w:tr w:rsidR="005115B2" w:rsidRPr="00BA1172" w:rsidTr="005115B2">
        <w:trPr>
          <w:trHeight w:val="335"/>
        </w:trPr>
        <w:tc>
          <w:tcPr>
            <w:tcW w:w="675" w:type="dxa"/>
            <w:vMerge w:val="restart"/>
          </w:tcPr>
          <w:p w:rsidR="005115B2" w:rsidRPr="00BA1172" w:rsidRDefault="005115B2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</w:tcPr>
          <w:p w:rsidR="005115B2" w:rsidRPr="00BA1172" w:rsidRDefault="005115B2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172">
              <w:rPr>
                <w:rFonts w:ascii="Times New Roman" w:hAnsi="Times New Roman"/>
                <w:sz w:val="24"/>
                <w:szCs w:val="24"/>
              </w:rPr>
              <w:t>Zabezpieczenie długofalowych potrzeb ekonomicznych wydziału (D5.4)</w:t>
            </w:r>
          </w:p>
        </w:tc>
        <w:tc>
          <w:tcPr>
            <w:tcW w:w="4252" w:type="dxa"/>
            <w:tcBorders>
              <w:bottom w:val="nil"/>
            </w:tcBorders>
          </w:tcPr>
          <w:p w:rsidR="005115B2" w:rsidRPr="00D82C93" w:rsidRDefault="005115B2" w:rsidP="005115B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M1 Miernik wartości przychodów spoza dotacji podstawowej MNiSW</w:t>
            </w:r>
          </w:p>
        </w:tc>
      </w:tr>
      <w:tr w:rsidR="005115B2" w:rsidRPr="00BA1172" w:rsidTr="005115B2">
        <w:trPr>
          <w:trHeight w:val="335"/>
        </w:trPr>
        <w:tc>
          <w:tcPr>
            <w:tcW w:w="675" w:type="dxa"/>
            <w:vMerge/>
          </w:tcPr>
          <w:p w:rsidR="005115B2" w:rsidRPr="00BA1172" w:rsidRDefault="005115B2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115B2" w:rsidRPr="00BA1172" w:rsidRDefault="005115B2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5115B2" w:rsidRPr="00D82C93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M2 Miernik wartości nadwyżki</w:t>
            </w:r>
          </w:p>
        </w:tc>
      </w:tr>
      <w:tr w:rsidR="005115B2" w:rsidRPr="00BA1172" w:rsidTr="005115B2">
        <w:trPr>
          <w:trHeight w:val="335"/>
        </w:trPr>
        <w:tc>
          <w:tcPr>
            <w:tcW w:w="675" w:type="dxa"/>
            <w:vMerge/>
          </w:tcPr>
          <w:p w:rsidR="005115B2" w:rsidRPr="00BA1172" w:rsidRDefault="005115B2" w:rsidP="00BA1172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5115B2" w:rsidRPr="00BA1172" w:rsidRDefault="005115B2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5115B2" w:rsidRPr="00D82C93" w:rsidRDefault="005115B2" w:rsidP="00BA1172">
            <w:pPr>
              <w:spacing w:after="0" w:line="240" w:lineRule="auto"/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 w:rsidRPr="00D82C93">
              <w:rPr>
                <w:rFonts w:ascii="Times New Roman" w:hAnsi="Times New Roman"/>
                <w:sz w:val="24"/>
                <w:szCs w:val="24"/>
              </w:rPr>
              <w:t>D</w:t>
            </w:r>
            <w:r w:rsidRPr="00D82C93">
              <w:rPr>
                <w:rFonts w:ascii="Times New Roman" w:hAnsi="Times New Roman"/>
                <w:sz w:val="24"/>
                <w:szCs w:val="24"/>
                <w:vertAlign w:val="subscript"/>
              </w:rPr>
              <w:t>5.</w:t>
            </w:r>
            <w:r w:rsidRPr="00D82C93">
              <w:rPr>
                <w:rFonts w:ascii="Times New Roman" w:hAnsi="Times New Roman"/>
                <w:sz w:val="24"/>
                <w:szCs w:val="24"/>
                <w:vertAlign w:val="superscript"/>
              </w:rPr>
              <w:t>4.</w:t>
            </w:r>
            <w:r w:rsidRPr="00D82C93">
              <w:rPr>
                <w:rFonts w:ascii="Times New Roman" w:hAnsi="Times New Roman"/>
                <w:sz w:val="24"/>
                <w:szCs w:val="24"/>
              </w:rPr>
              <w:t>M3 Miernik nadwyżki do przychodów</w:t>
            </w:r>
          </w:p>
        </w:tc>
      </w:tr>
    </w:tbl>
    <w:p w:rsidR="0001319D" w:rsidRDefault="000131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01319D" w:rsidSect="000B08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5A" w:rsidRDefault="0018465A" w:rsidP="003F4E3F">
      <w:pPr>
        <w:spacing w:after="0" w:line="240" w:lineRule="auto"/>
      </w:pPr>
      <w:r>
        <w:separator/>
      </w:r>
    </w:p>
  </w:endnote>
  <w:endnote w:type="continuationSeparator" w:id="0">
    <w:p w:rsidR="0018465A" w:rsidRDefault="0018465A" w:rsidP="003F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E8" w:rsidRDefault="00B265E8" w:rsidP="00BA1172">
    <w:pPr>
      <w:pStyle w:val="Stopka"/>
      <w:pBdr>
        <w:top w:val="thinThickSmallGap" w:sz="24" w:space="1" w:color="622423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 w:rsidR="004330CA">
      <w:fldChar w:fldCharType="begin"/>
    </w:r>
    <w:r>
      <w:instrText>PAGE   \* MERGEFORMAT</w:instrText>
    </w:r>
    <w:r w:rsidR="004330CA">
      <w:fldChar w:fldCharType="separate"/>
    </w:r>
    <w:r w:rsidR="000570D0" w:rsidRPr="000570D0">
      <w:rPr>
        <w:rFonts w:ascii="Cambria" w:hAnsi="Cambria"/>
        <w:noProof/>
      </w:rPr>
      <w:t>2</w:t>
    </w:r>
    <w:r w:rsidR="004330CA">
      <w:fldChar w:fldCharType="end"/>
    </w:r>
  </w:p>
  <w:p w:rsidR="00B265E8" w:rsidRDefault="00B265E8" w:rsidP="00BA11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5A" w:rsidRDefault="0018465A" w:rsidP="003F4E3F">
      <w:pPr>
        <w:spacing w:after="0" w:line="240" w:lineRule="auto"/>
      </w:pPr>
      <w:r>
        <w:separator/>
      </w:r>
    </w:p>
  </w:footnote>
  <w:footnote w:type="continuationSeparator" w:id="0">
    <w:p w:rsidR="0018465A" w:rsidRDefault="0018465A" w:rsidP="003F4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CA" w:rsidRDefault="00BB1D1D" w:rsidP="00D82C93">
    <w:pPr>
      <w:pStyle w:val="Nagwek"/>
      <w:pBdr>
        <w:bottom w:val="thickThinSmallGap" w:sz="24" w:space="1" w:color="622423"/>
      </w:pBdr>
      <w:jc w:val="center"/>
      <w:rPr>
        <w:rFonts w:ascii="Cambria" w:hAnsi="Cambria"/>
      </w:rPr>
    </w:pPr>
    <w:r w:rsidRPr="00BB1D1D">
      <w:rPr>
        <w:rFonts w:ascii="Cambria" w:hAnsi="Cambria"/>
      </w:rPr>
      <w:t xml:space="preserve">Strategia rozwoju Wydziału Nauk Ekonomicznych SGGW w Warszawie </w:t>
    </w:r>
    <w:r w:rsidR="008439A8">
      <w:rPr>
        <w:rFonts w:ascii="Cambria" w:hAnsi="Cambria"/>
      </w:rPr>
      <w:t>do 202</w:t>
    </w:r>
    <w:r w:rsidR="00D82C93">
      <w:rPr>
        <w:rFonts w:ascii="Cambria" w:hAnsi="Cambria"/>
      </w:rPr>
      <w:t>0</w:t>
    </w:r>
  </w:p>
  <w:p w:rsidR="00B265E8" w:rsidRDefault="00B265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79E"/>
    <w:multiLevelType w:val="hybridMultilevel"/>
    <w:tmpl w:val="0234FF8E"/>
    <w:lvl w:ilvl="0" w:tplc="00E6B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A50D9"/>
    <w:multiLevelType w:val="hybridMultilevel"/>
    <w:tmpl w:val="D80A9FF8"/>
    <w:lvl w:ilvl="0" w:tplc="6480DEC0"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932F48"/>
    <w:multiLevelType w:val="hybridMultilevel"/>
    <w:tmpl w:val="4B3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5FF2"/>
    <w:multiLevelType w:val="hybridMultilevel"/>
    <w:tmpl w:val="47448578"/>
    <w:lvl w:ilvl="0" w:tplc="7E9E0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4C4DD5"/>
    <w:multiLevelType w:val="hybridMultilevel"/>
    <w:tmpl w:val="926EF086"/>
    <w:lvl w:ilvl="0" w:tplc="FD3CB16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E0213"/>
    <w:multiLevelType w:val="hybridMultilevel"/>
    <w:tmpl w:val="A89E3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66F2B"/>
    <w:multiLevelType w:val="hybridMultilevel"/>
    <w:tmpl w:val="3372F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B61BC7"/>
    <w:multiLevelType w:val="hybridMultilevel"/>
    <w:tmpl w:val="9F2E3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E3D52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77D5D"/>
    <w:multiLevelType w:val="hybridMultilevel"/>
    <w:tmpl w:val="4B3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23D06"/>
    <w:multiLevelType w:val="hybridMultilevel"/>
    <w:tmpl w:val="7A708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71F30"/>
    <w:multiLevelType w:val="hybridMultilevel"/>
    <w:tmpl w:val="4A00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A623C"/>
    <w:multiLevelType w:val="hybridMultilevel"/>
    <w:tmpl w:val="AA88C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32F46"/>
    <w:multiLevelType w:val="hybridMultilevel"/>
    <w:tmpl w:val="47448578"/>
    <w:lvl w:ilvl="0" w:tplc="7E9E0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734977"/>
    <w:multiLevelType w:val="hybridMultilevel"/>
    <w:tmpl w:val="B98E1756"/>
    <w:lvl w:ilvl="0" w:tplc="600C1D7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83F2B17"/>
    <w:multiLevelType w:val="hybridMultilevel"/>
    <w:tmpl w:val="9F98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55A23"/>
    <w:multiLevelType w:val="hybridMultilevel"/>
    <w:tmpl w:val="7EFAD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16D56"/>
    <w:multiLevelType w:val="hybridMultilevel"/>
    <w:tmpl w:val="04D250E4"/>
    <w:lvl w:ilvl="0" w:tplc="E7B21CB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6D160C"/>
    <w:multiLevelType w:val="hybridMultilevel"/>
    <w:tmpl w:val="FC32A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C51B6"/>
    <w:multiLevelType w:val="hybridMultilevel"/>
    <w:tmpl w:val="1E2CEFA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0">
    <w:nsid w:val="38524FD7"/>
    <w:multiLevelType w:val="hybridMultilevel"/>
    <w:tmpl w:val="BC8CF63C"/>
    <w:lvl w:ilvl="0" w:tplc="691279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D354A4C"/>
    <w:multiLevelType w:val="hybridMultilevel"/>
    <w:tmpl w:val="9F2E3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4D2D52"/>
    <w:multiLevelType w:val="hybridMultilevel"/>
    <w:tmpl w:val="DC84540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862684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954CF"/>
    <w:multiLevelType w:val="hybridMultilevel"/>
    <w:tmpl w:val="4B3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9761E8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DE7DC8"/>
    <w:multiLevelType w:val="hybridMultilevel"/>
    <w:tmpl w:val="6154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F97B20"/>
    <w:multiLevelType w:val="hybridMultilevel"/>
    <w:tmpl w:val="47448578"/>
    <w:lvl w:ilvl="0" w:tplc="7E9E0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3D61F09"/>
    <w:multiLevelType w:val="hybridMultilevel"/>
    <w:tmpl w:val="F8FEE1E0"/>
    <w:lvl w:ilvl="0" w:tplc="933858D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5EA5660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8C23E4"/>
    <w:multiLevelType w:val="hybridMultilevel"/>
    <w:tmpl w:val="3F6EB756"/>
    <w:lvl w:ilvl="0" w:tplc="E7B21CB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DE65B8"/>
    <w:multiLevelType w:val="hybridMultilevel"/>
    <w:tmpl w:val="2B7CB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01C9D"/>
    <w:multiLevelType w:val="hybridMultilevel"/>
    <w:tmpl w:val="04D250E4"/>
    <w:lvl w:ilvl="0" w:tplc="E7B21CB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C47057D"/>
    <w:multiLevelType w:val="hybridMultilevel"/>
    <w:tmpl w:val="8ACC4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3A39A7"/>
    <w:multiLevelType w:val="hybridMultilevel"/>
    <w:tmpl w:val="47448578"/>
    <w:lvl w:ilvl="0" w:tplc="7E9E0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0C25AE6"/>
    <w:multiLevelType w:val="hybridMultilevel"/>
    <w:tmpl w:val="ECC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933883"/>
    <w:multiLevelType w:val="hybridMultilevel"/>
    <w:tmpl w:val="4B3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C112AA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D2711B"/>
    <w:multiLevelType w:val="hybridMultilevel"/>
    <w:tmpl w:val="292CE8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9E14AD"/>
    <w:multiLevelType w:val="hybridMultilevel"/>
    <w:tmpl w:val="292CE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4D0691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3426E4"/>
    <w:multiLevelType w:val="hybridMultilevel"/>
    <w:tmpl w:val="4BD6C8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B3B33EA"/>
    <w:multiLevelType w:val="hybridMultilevel"/>
    <w:tmpl w:val="4B3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D623A6E"/>
    <w:multiLevelType w:val="hybridMultilevel"/>
    <w:tmpl w:val="AA9C9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840613"/>
    <w:multiLevelType w:val="hybridMultilevel"/>
    <w:tmpl w:val="47448578"/>
    <w:lvl w:ilvl="0" w:tplc="7E9E0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3561D49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6066CF"/>
    <w:multiLevelType w:val="hybridMultilevel"/>
    <w:tmpl w:val="A63E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C106CF0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215870"/>
    <w:multiLevelType w:val="hybridMultilevel"/>
    <w:tmpl w:val="A63E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190660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D36F65"/>
    <w:multiLevelType w:val="hybridMultilevel"/>
    <w:tmpl w:val="9F2E3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785AF8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8A0D68"/>
    <w:multiLevelType w:val="hybridMultilevel"/>
    <w:tmpl w:val="DD26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4D0306C"/>
    <w:multiLevelType w:val="hybridMultilevel"/>
    <w:tmpl w:val="C63C7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86548D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65324BA"/>
    <w:multiLevelType w:val="hybridMultilevel"/>
    <w:tmpl w:val="7320F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D413E7"/>
    <w:multiLevelType w:val="hybridMultilevel"/>
    <w:tmpl w:val="6A965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D922990"/>
    <w:multiLevelType w:val="hybridMultilevel"/>
    <w:tmpl w:val="2946A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F93519"/>
    <w:multiLevelType w:val="hybridMultilevel"/>
    <w:tmpl w:val="7BCE0286"/>
    <w:lvl w:ilvl="0" w:tplc="3D78B44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35"/>
  </w:num>
  <w:num w:numId="4">
    <w:abstractNumId w:val="5"/>
  </w:num>
  <w:num w:numId="5">
    <w:abstractNumId w:val="53"/>
  </w:num>
  <w:num w:numId="6">
    <w:abstractNumId w:val="33"/>
  </w:num>
  <w:num w:numId="7">
    <w:abstractNumId w:val="56"/>
  </w:num>
  <w:num w:numId="8">
    <w:abstractNumId w:val="31"/>
  </w:num>
  <w:num w:numId="9">
    <w:abstractNumId w:val="43"/>
  </w:num>
  <w:num w:numId="10">
    <w:abstractNumId w:val="28"/>
  </w:num>
  <w:num w:numId="11">
    <w:abstractNumId w:val="0"/>
  </w:num>
  <w:num w:numId="12">
    <w:abstractNumId w:val="26"/>
  </w:num>
  <w:num w:numId="13">
    <w:abstractNumId w:val="57"/>
  </w:num>
  <w:num w:numId="14">
    <w:abstractNumId w:val="18"/>
  </w:num>
  <w:num w:numId="15">
    <w:abstractNumId w:val="16"/>
  </w:num>
  <w:num w:numId="16">
    <w:abstractNumId w:val="10"/>
  </w:num>
  <w:num w:numId="17">
    <w:abstractNumId w:val="11"/>
  </w:num>
  <w:num w:numId="18">
    <w:abstractNumId w:val="14"/>
  </w:num>
  <w:num w:numId="19">
    <w:abstractNumId w:val="19"/>
  </w:num>
  <w:num w:numId="20">
    <w:abstractNumId w:val="17"/>
  </w:num>
  <w:num w:numId="21">
    <w:abstractNumId w:val="6"/>
  </w:num>
  <w:num w:numId="22">
    <w:abstractNumId w:val="32"/>
  </w:num>
  <w:num w:numId="23">
    <w:abstractNumId w:val="30"/>
  </w:num>
  <w:num w:numId="24">
    <w:abstractNumId w:val="55"/>
  </w:num>
  <w:num w:numId="25">
    <w:abstractNumId w:val="41"/>
  </w:num>
  <w:num w:numId="26">
    <w:abstractNumId w:val="25"/>
  </w:num>
  <w:num w:numId="27">
    <w:abstractNumId w:val="8"/>
  </w:num>
  <w:num w:numId="28">
    <w:abstractNumId w:val="3"/>
  </w:num>
  <w:num w:numId="29">
    <w:abstractNumId w:val="51"/>
  </w:num>
  <w:num w:numId="30">
    <w:abstractNumId w:val="54"/>
  </w:num>
  <w:num w:numId="31">
    <w:abstractNumId w:val="42"/>
  </w:num>
  <w:num w:numId="32">
    <w:abstractNumId w:val="29"/>
  </w:num>
  <w:num w:numId="33">
    <w:abstractNumId w:val="38"/>
  </w:num>
  <w:num w:numId="34">
    <w:abstractNumId w:val="48"/>
  </w:num>
  <w:num w:numId="35">
    <w:abstractNumId w:val="7"/>
  </w:num>
  <w:num w:numId="36">
    <w:abstractNumId w:val="36"/>
  </w:num>
  <w:num w:numId="37">
    <w:abstractNumId w:val="9"/>
  </w:num>
  <w:num w:numId="38">
    <w:abstractNumId w:val="2"/>
  </w:num>
  <w:num w:numId="39">
    <w:abstractNumId w:val="24"/>
  </w:num>
  <w:num w:numId="40">
    <w:abstractNumId w:val="45"/>
  </w:num>
  <w:num w:numId="41">
    <w:abstractNumId w:val="37"/>
  </w:num>
  <w:num w:numId="42">
    <w:abstractNumId w:val="40"/>
  </w:num>
  <w:num w:numId="43">
    <w:abstractNumId w:val="49"/>
  </w:num>
  <w:num w:numId="44">
    <w:abstractNumId w:val="47"/>
  </w:num>
  <w:num w:numId="45">
    <w:abstractNumId w:val="52"/>
  </w:num>
  <w:num w:numId="46">
    <w:abstractNumId w:val="39"/>
  </w:num>
  <w:num w:numId="47">
    <w:abstractNumId w:val="46"/>
  </w:num>
  <w:num w:numId="48">
    <w:abstractNumId w:val="50"/>
  </w:num>
  <w:num w:numId="49">
    <w:abstractNumId w:val="21"/>
  </w:num>
  <w:num w:numId="50">
    <w:abstractNumId w:val="4"/>
  </w:num>
  <w:num w:numId="51">
    <w:abstractNumId w:val="44"/>
  </w:num>
  <w:num w:numId="52">
    <w:abstractNumId w:val="23"/>
  </w:num>
  <w:num w:numId="53">
    <w:abstractNumId w:val="34"/>
  </w:num>
  <w:num w:numId="54">
    <w:abstractNumId w:val="20"/>
  </w:num>
  <w:num w:numId="55">
    <w:abstractNumId w:val="1"/>
  </w:num>
  <w:num w:numId="56">
    <w:abstractNumId w:val="58"/>
  </w:num>
  <w:num w:numId="57">
    <w:abstractNumId w:val="27"/>
  </w:num>
  <w:num w:numId="58">
    <w:abstractNumId w:val="13"/>
  </w:num>
  <w:num w:numId="59">
    <w:abstractNumId w:val="1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F1"/>
    <w:rsid w:val="00000A14"/>
    <w:rsid w:val="000033AE"/>
    <w:rsid w:val="000046AE"/>
    <w:rsid w:val="00007F76"/>
    <w:rsid w:val="0001319D"/>
    <w:rsid w:val="00042AC0"/>
    <w:rsid w:val="00047E5F"/>
    <w:rsid w:val="00052281"/>
    <w:rsid w:val="000570D0"/>
    <w:rsid w:val="00062F80"/>
    <w:rsid w:val="00064A6A"/>
    <w:rsid w:val="00070649"/>
    <w:rsid w:val="00072175"/>
    <w:rsid w:val="00072E24"/>
    <w:rsid w:val="00073599"/>
    <w:rsid w:val="000741F1"/>
    <w:rsid w:val="000870AE"/>
    <w:rsid w:val="00094D5F"/>
    <w:rsid w:val="000964D2"/>
    <w:rsid w:val="000A1879"/>
    <w:rsid w:val="000A6682"/>
    <w:rsid w:val="000B0877"/>
    <w:rsid w:val="000C5328"/>
    <w:rsid w:val="000C6BF9"/>
    <w:rsid w:val="000F1588"/>
    <w:rsid w:val="000F3000"/>
    <w:rsid w:val="000F6891"/>
    <w:rsid w:val="00102C6E"/>
    <w:rsid w:val="00112864"/>
    <w:rsid w:val="00122817"/>
    <w:rsid w:val="001305A4"/>
    <w:rsid w:val="00157289"/>
    <w:rsid w:val="0016116E"/>
    <w:rsid w:val="00167655"/>
    <w:rsid w:val="00183E10"/>
    <w:rsid w:val="0018465A"/>
    <w:rsid w:val="0019390C"/>
    <w:rsid w:val="001B59FC"/>
    <w:rsid w:val="001B5E9F"/>
    <w:rsid w:val="001C60CF"/>
    <w:rsid w:val="001C7F79"/>
    <w:rsid w:val="001E3CBF"/>
    <w:rsid w:val="0022245D"/>
    <w:rsid w:val="00233CA9"/>
    <w:rsid w:val="00235BA6"/>
    <w:rsid w:val="00251523"/>
    <w:rsid w:val="00251887"/>
    <w:rsid w:val="002546FA"/>
    <w:rsid w:val="00261268"/>
    <w:rsid w:val="00266FCC"/>
    <w:rsid w:val="0028523E"/>
    <w:rsid w:val="00292AE0"/>
    <w:rsid w:val="00295F71"/>
    <w:rsid w:val="002B10B7"/>
    <w:rsid w:val="002C6481"/>
    <w:rsid w:val="002E2EEC"/>
    <w:rsid w:val="002E6106"/>
    <w:rsid w:val="00304090"/>
    <w:rsid w:val="00325E35"/>
    <w:rsid w:val="00331873"/>
    <w:rsid w:val="00332D1D"/>
    <w:rsid w:val="0034282F"/>
    <w:rsid w:val="003500CF"/>
    <w:rsid w:val="00352119"/>
    <w:rsid w:val="003678BF"/>
    <w:rsid w:val="00370376"/>
    <w:rsid w:val="00371F95"/>
    <w:rsid w:val="003A291C"/>
    <w:rsid w:val="003B0FDA"/>
    <w:rsid w:val="003D5660"/>
    <w:rsid w:val="003F4E3F"/>
    <w:rsid w:val="003F5522"/>
    <w:rsid w:val="003F631A"/>
    <w:rsid w:val="00404510"/>
    <w:rsid w:val="00406853"/>
    <w:rsid w:val="004122BE"/>
    <w:rsid w:val="00425F6F"/>
    <w:rsid w:val="004330CA"/>
    <w:rsid w:val="00440051"/>
    <w:rsid w:val="00445970"/>
    <w:rsid w:val="0045731E"/>
    <w:rsid w:val="004668C2"/>
    <w:rsid w:val="004728DE"/>
    <w:rsid w:val="00492C71"/>
    <w:rsid w:val="00497919"/>
    <w:rsid w:val="004B7340"/>
    <w:rsid w:val="004C7CFA"/>
    <w:rsid w:val="004E000D"/>
    <w:rsid w:val="004E27A6"/>
    <w:rsid w:val="004F0E01"/>
    <w:rsid w:val="004F1F94"/>
    <w:rsid w:val="00510277"/>
    <w:rsid w:val="005115B2"/>
    <w:rsid w:val="005243B6"/>
    <w:rsid w:val="005340DA"/>
    <w:rsid w:val="00547EF1"/>
    <w:rsid w:val="005A0109"/>
    <w:rsid w:val="005A5014"/>
    <w:rsid w:val="005A58F3"/>
    <w:rsid w:val="005B31DC"/>
    <w:rsid w:val="005C3ECE"/>
    <w:rsid w:val="005D146D"/>
    <w:rsid w:val="005F1E6B"/>
    <w:rsid w:val="005F639B"/>
    <w:rsid w:val="00606028"/>
    <w:rsid w:val="00614396"/>
    <w:rsid w:val="00616386"/>
    <w:rsid w:val="00645F78"/>
    <w:rsid w:val="00650EE2"/>
    <w:rsid w:val="00660B8C"/>
    <w:rsid w:val="006631E0"/>
    <w:rsid w:val="0066380E"/>
    <w:rsid w:val="006823D2"/>
    <w:rsid w:val="00695FD1"/>
    <w:rsid w:val="006A0992"/>
    <w:rsid w:val="006A26AC"/>
    <w:rsid w:val="006A40C9"/>
    <w:rsid w:val="006A455B"/>
    <w:rsid w:val="006A5052"/>
    <w:rsid w:val="006D2F6C"/>
    <w:rsid w:val="006D4EAA"/>
    <w:rsid w:val="006E2578"/>
    <w:rsid w:val="006E4CC1"/>
    <w:rsid w:val="006E7242"/>
    <w:rsid w:val="006F121E"/>
    <w:rsid w:val="006F3ABA"/>
    <w:rsid w:val="006F3F55"/>
    <w:rsid w:val="006F6445"/>
    <w:rsid w:val="00706979"/>
    <w:rsid w:val="0070773A"/>
    <w:rsid w:val="007159EC"/>
    <w:rsid w:val="007176DB"/>
    <w:rsid w:val="00723A43"/>
    <w:rsid w:val="0073623F"/>
    <w:rsid w:val="00740CD4"/>
    <w:rsid w:val="00741D2B"/>
    <w:rsid w:val="0075139C"/>
    <w:rsid w:val="00757118"/>
    <w:rsid w:val="007610F5"/>
    <w:rsid w:val="00764D76"/>
    <w:rsid w:val="00782974"/>
    <w:rsid w:val="007907F4"/>
    <w:rsid w:val="00791F45"/>
    <w:rsid w:val="00796107"/>
    <w:rsid w:val="007A1221"/>
    <w:rsid w:val="007A3DAF"/>
    <w:rsid w:val="007A45A7"/>
    <w:rsid w:val="007A6DB5"/>
    <w:rsid w:val="007B5E3D"/>
    <w:rsid w:val="007C3350"/>
    <w:rsid w:val="007D3A31"/>
    <w:rsid w:val="007E0574"/>
    <w:rsid w:val="007E276C"/>
    <w:rsid w:val="007F0A57"/>
    <w:rsid w:val="00803C42"/>
    <w:rsid w:val="00806B5D"/>
    <w:rsid w:val="00807A28"/>
    <w:rsid w:val="00815FA2"/>
    <w:rsid w:val="008238F8"/>
    <w:rsid w:val="0082587B"/>
    <w:rsid w:val="0083113E"/>
    <w:rsid w:val="008369B4"/>
    <w:rsid w:val="00837A04"/>
    <w:rsid w:val="008439A8"/>
    <w:rsid w:val="00857F7F"/>
    <w:rsid w:val="00864931"/>
    <w:rsid w:val="00877C36"/>
    <w:rsid w:val="00886ACC"/>
    <w:rsid w:val="008A3C5D"/>
    <w:rsid w:val="008A78B8"/>
    <w:rsid w:val="008B6EA5"/>
    <w:rsid w:val="008C0120"/>
    <w:rsid w:val="008C7DDC"/>
    <w:rsid w:val="008F6714"/>
    <w:rsid w:val="00902797"/>
    <w:rsid w:val="00903A75"/>
    <w:rsid w:val="00914862"/>
    <w:rsid w:val="00916C7D"/>
    <w:rsid w:val="0093182E"/>
    <w:rsid w:val="00933ABD"/>
    <w:rsid w:val="00946627"/>
    <w:rsid w:val="00955C82"/>
    <w:rsid w:val="00966C6F"/>
    <w:rsid w:val="0097228A"/>
    <w:rsid w:val="009C1289"/>
    <w:rsid w:val="009D0533"/>
    <w:rsid w:val="009D1F20"/>
    <w:rsid w:val="009F4689"/>
    <w:rsid w:val="009F5A8C"/>
    <w:rsid w:val="009F6A11"/>
    <w:rsid w:val="00A1181A"/>
    <w:rsid w:val="00A26BD4"/>
    <w:rsid w:val="00A30FCC"/>
    <w:rsid w:val="00A365E2"/>
    <w:rsid w:val="00A503BF"/>
    <w:rsid w:val="00A534A3"/>
    <w:rsid w:val="00A6017A"/>
    <w:rsid w:val="00A8041A"/>
    <w:rsid w:val="00A84AA1"/>
    <w:rsid w:val="00A92D8C"/>
    <w:rsid w:val="00A94636"/>
    <w:rsid w:val="00AD3DAE"/>
    <w:rsid w:val="00AD4A94"/>
    <w:rsid w:val="00B04D13"/>
    <w:rsid w:val="00B0711E"/>
    <w:rsid w:val="00B108FA"/>
    <w:rsid w:val="00B265E8"/>
    <w:rsid w:val="00B3634D"/>
    <w:rsid w:val="00B51225"/>
    <w:rsid w:val="00B53D52"/>
    <w:rsid w:val="00B64AC9"/>
    <w:rsid w:val="00B65281"/>
    <w:rsid w:val="00B716A4"/>
    <w:rsid w:val="00B76F91"/>
    <w:rsid w:val="00B80FB0"/>
    <w:rsid w:val="00B947DA"/>
    <w:rsid w:val="00B96E37"/>
    <w:rsid w:val="00BA1172"/>
    <w:rsid w:val="00BA2E87"/>
    <w:rsid w:val="00BA76F3"/>
    <w:rsid w:val="00BB1D1D"/>
    <w:rsid w:val="00BB31E2"/>
    <w:rsid w:val="00BB4399"/>
    <w:rsid w:val="00BC0499"/>
    <w:rsid w:val="00BD0BA1"/>
    <w:rsid w:val="00BD7102"/>
    <w:rsid w:val="00BF13B9"/>
    <w:rsid w:val="00BF326D"/>
    <w:rsid w:val="00BF5C2F"/>
    <w:rsid w:val="00BF7212"/>
    <w:rsid w:val="00C00852"/>
    <w:rsid w:val="00C046B9"/>
    <w:rsid w:val="00C10368"/>
    <w:rsid w:val="00C1222E"/>
    <w:rsid w:val="00C23391"/>
    <w:rsid w:val="00C238AD"/>
    <w:rsid w:val="00C44A5B"/>
    <w:rsid w:val="00C452C3"/>
    <w:rsid w:val="00C506C3"/>
    <w:rsid w:val="00C55BCC"/>
    <w:rsid w:val="00C62213"/>
    <w:rsid w:val="00C8144F"/>
    <w:rsid w:val="00C84C6E"/>
    <w:rsid w:val="00C86FCF"/>
    <w:rsid w:val="00C90D78"/>
    <w:rsid w:val="00C97319"/>
    <w:rsid w:val="00CC34F5"/>
    <w:rsid w:val="00CC36A1"/>
    <w:rsid w:val="00CC42AB"/>
    <w:rsid w:val="00CD6A0A"/>
    <w:rsid w:val="00CE3E16"/>
    <w:rsid w:val="00CF3632"/>
    <w:rsid w:val="00D03718"/>
    <w:rsid w:val="00D212F9"/>
    <w:rsid w:val="00D67FA8"/>
    <w:rsid w:val="00D725A6"/>
    <w:rsid w:val="00D778F3"/>
    <w:rsid w:val="00D82C93"/>
    <w:rsid w:val="00D86EE5"/>
    <w:rsid w:val="00D87D7F"/>
    <w:rsid w:val="00DB27E8"/>
    <w:rsid w:val="00DC6324"/>
    <w:rsid w:val="00DF558A"/>
    <w:rsid w:val="00E04EDC"/>
    <w:rsid w:val="00E1420E"/>
    <w:rsid w:val="00E33FB5"/>
    <w:rsid w:val="00E479EE"/>
    <w:rsid w:val="00E51C02"/>
    <w:rsid w:val="00E56000"/>
    <w:rsid w:val="00E564C3"/>
    <w:rsid w:val="00E64613"/>
    <w:rsid w:val="00E6781A"/>
    <w:rsid w:val="00E73BCF"/>
    <w:rsid w:val="00E9158C"/>
    <w:rsid w:val="00E91F3B"/>
    <w:rsid w:val="00E97079"/>
    <w:rsid w:val="00EA4C8C"/>
    <w:rsid w:val="00EA7A0B"/>
    <w:rsid w:val="00EB45ED"/>
    <w:rsid w:val="00EB57CD"/>
    <w:rsid w:val="00EC70E9"/>
    <w:rsid w:val="00EE7FC3"/>
    <w:rsid w:val="00F11C0C"/>
    <w:rsid w:val="00F22980"/>
    <w:rsid w:val="00F24B71"/>
    <w:rsid w:val="00F27942"/>
    <w:rsid w:val="00F4477D"/>
    <w:rsid w:val="00F6702E"/>
    <w:rsid w:val="00F7476E"/>
    <w:rsid w:val="00F75C75"/>
    <w:rsid w:val="00F76A65"/>
    <w:rsid w:val="00FA0D2F"/>
    <w:rsid w:val="00FA1E7A"/>
    <w:rsid w:val="00FA2F5E"/>
    <w:rsid w:val="00FA33D7"/>
    <w:rsid w:val="00FB7A6E"/>
    <w:rsid w:val="00FD397E"/>
    <w:rsid w:val="00FF1ACC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F2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96E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370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F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4E3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F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4E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8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84C6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4E000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00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E000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00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000D"/>
    <w:rPr>
      <w:rFonts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07F7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07F7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7F76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7F76"/>
    <w:rPr>
      <w:rFonts w:eastAsia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rsid w:val="00007F76"/>
    <w:rPr>
      <w:rFonts w:cs="Times New Roman"/>
      <w:vertAlign w:val="superscript"/>
    </w:rPr>
  </w:style>
  <w:style w:type="character" w:styleId="Hipercze">
    <w:name w:val="Hyperlink"/>
    <w:uiPriority w:val="99"/>
    <w:rsid w:val="00007F76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ny"/>
    <w:uiPriority w:val="99"/>
    <w:rsid w:val="00EE7FC3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uiPriority w:val="99"/>
    <w:rsid w:val="00B7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AD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D3DAE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D3DA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265E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F2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96E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370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F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4E3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F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4E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8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84C6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4E000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00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E000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00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000D"/>
    <w:rPr>
      <w:rFonts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07F7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07F7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7F76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007F76"/>
    <w:rPr>
      <w:rFonts w:eastAsia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rsid w:val="00007F76"/>
    <w:rPr>
      <w:rFonts w:cs="Times New Roman"/>
      <w:vertAlign w:val="superscript"/>
    </w:rPr>
  </w:style>
  <w:style w:type="character" w:styleId="Hipercze">
    <w:name w:val="Hyperlink"/>
    <w:uiPriority w:val="99"/>
    <w:rsid w:val="00007F76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ny"/>
    <w:uiPriority w:val="99"/>
    <w:rsid w:val="00EE7FC3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uiPriority w:val="99"/>
    <w:rsid w:val="00B7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AD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D3DAE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D3DAE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265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4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3994</Words>
  <Characters>23966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Strategia rozwoju Wydziału Nauk Ekonomicznych SGGW w Warszawie na lata 2013-2020</vt:lpstr>
    </vt:vector>
  </TitlesOfParts>
  <Company>SGGW</Company>
  <LinksUpToDate>false</LinksUpToDate>
  <CharactersWithSpaces>27905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rozwoju Wydziału Nauk Ekonomicznych SGGW w Warszawie na lata 2013-2020</dc:title>
  <dc:creator>Mariusz Maciejczak;Ludwik Wicki, Jarosław Gołebiewski</dc:creator>
  <cp:keywords>strategia;Wydział Nauk Ekonomicznych, SGGW</cp:keywords>
  <cp:lastModifiedBy>Jarek</cp:lastModifiedBy>
  <cp:revision>3</cp:revision>
  <cp:lastPrinted>2013-11-11T21:11:00Z</cp:lastPrinted>
  <dcterms:created xsi:type="dcterms:W3CDTF">2013-11-20T21:49:00Z</dcterms:created>
  <dcterms:modified xsi:type="dcterms:W3CDTF">2013-11-20T21:55:00Z</dcterms:modified>
</cp:coreProperties>
</file>